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lineRule="auto" w:line="312"/>
        <w:ind w:hanging="0" w:start="0"/>
        <w:jc w:val="both"/>
        <w:outlineLvl w:val="0"/>
        <w:rPr/>
      </w:pPr>
      <w:r>
        <w:rPr>
          <w:rFonts w:eastAsia="Calibri" w:cs="" w:ascii="Cambria" w:hAnsi="Cambria" w:cstheme="minorBidi" w:eastAsiaTheme="minorHAnsi"/>
          <w:b/>
          <w:bCs/>
          <w:kern w:val="0"/>
          <w:lang w:eastAsia="en-US" w:bidi="ar-SA"/>
        </w:rPr>
        <w:t>Indicative Term Sheet for Preferred Class C Shares</w:t>
      </w:r>
    </w:p>
    <w:p>
      <w:pPr>
        <w:pStyle w:val="Normal"/>
        <w:spacing w:lineRule="auto" w:line="312"/>
        <w:jc w:val="both"/>
        <w:rPr>
          <w:rFonts w:ascii="Cambria" w:hAnsi="Cambria" w:eastAsia="Calibri" w:cs="" w:cstheme="minorBidi" w:eastAsiaTheme="minorHAnsi"/>
          <w:kern w:val="0"/>
          <w:sz w:val="22"/>
          <w:szCs w:val="22"/>
          <w:lang w:eastAsia="en-US" w:bidi="ar-SA"/>
        </w:rPr>
      </w:pPr>
      <w:r>
        <w:rPr>
          <w:rFonts w:eastAsia="Calibri" w:cs="" w:cstheme="minorBidi" w:eastAsiaTheme="minorHAnsi" w:ascii="Cambria" w:hAnsi="Cambria"/>
          <w:kern w:val="0"/>
          <w:sz w:val="22"/>
          <w:szCs w:val="22"/>
          <w:lang w:eastAsia="en-US" w:bidi="ar-SA"/>
        </w:rPr>
      </w:r>
    </w:p>
    <w:tbl>
      <w:tblPr>
        <w:tblW w:w="9635" w:type="dxa"/>
        <w:jc w:val="start"/>
        <w:tblInd w:w="-109" w:type="dxa"/>
        <w:tblLayout w:type="fixed"/>
        <w:tblCellMar>
          <w:top w:w="0" w:type="dxa"/>
          <w:start w:w="108" w:type="dxa"/>
          <w:bottom w:w="0" w:type="dxa"/>
          <w:end w:w="108" w:type="dxa"/>
        </w:tblCellMar>
        <w:tblLook w:val="04a0" w:noHBand="0" w:noVBand="1" w:firstColumn="1" w:lastRow="0" w:lastColumn="0" w:firstRow="1"/>
      </w:tblPr>
      <w:tblGrid>
        <w:gridCol w:w="4257"/>
        <w:gridCol w:w="5377"/>
      </w:tblGrid>
      <w:tr>
        <w:trPr/>
        <w:tc>
          <w:tcPr>
            <w:tcW w:w="4257" w:type="dxa"/>
            <w:tcBorders/>
            <w:shd w:color="auto" w:fill="auto" w:val="clear"/>
          </w:tcPr>
          <w:p>
            <w:pPr>
              <w:pStyle w:val="Normal"/>
              <w:spacing w:lineRule="auto" w:line="276" w:before="0" w:after="200"/>
              <w:jc w:val="both"/>
              <w:rPr/>
            </w:pPr>
            <w:r>
              <w:rPr>
                <w:rFonts w:cs="Cambria" w:ascii="Cambria" w:hAnsi="Cambria"/>
                <w:b/>
                <w:sz w:val="22"/>
                <w:szCs w:val="22"/>
              </w:rPr>
              <w:t>1. Issuer:</w:t>
            </w:r>
          </w:p>
        </w:tc>
        <w:tc>
          <w:tcPr>
            <w:tcW w:w="5377" w:type="dxa"/>
            <w:tcBorders/>
            <w:shd w:color="auto" w:fill="auto" w:val="clear"/>
          </w:tcPr>
          <w:p>
            <w:pPr>
              <w:pStyle w:val="Normal"/>
              <w:spacing w:lineRule="auto" w:line="276" w:before="0" w:after="200"/>
              <w:jc w:val="both"/>
              <w:rPr/>
            </w:pPr>
            <w:r>
              <w:rPr>
                <w:rFonts w:cs="Cambria" w:ascii="Cambria" w:hAnsi="Cambria"/>
                <w:sz w:val="22"/>
                <w:szCs w:val="22"/>
              </w:rPr>
              <w:t>HELMEX FINANCIAL LIMITED, a private company limited by shares incorporated in New Brunswick, Canada</w:t>
            </w:r>
            <w:r>
              <w:rPr>
                <w:rFonts w:cs="Cambria" w:ascii="Cambria" w:hAnsi="Cambria"/>
                <w:i/>
                <w:iCs/>
                <w:sz w:val="22"/>
                <w:szCs w:val="22"/>
              </w:rPr>
              <w:t xml:space="preserve"> </w:t>
            </w:r>
            <w:r>
              <w:rPr>
                <w:rFonts w:cs="Cambria" w:ascii="Cambria" w:hAnsi="Cambria"/>
                <w:sz w:val="22"/>
                <w:szCs w:val="22"/>
              </w:rPr>
              <w:t>with registered office at 96 Norwood Avenue, Suite 214, Moncton, NB, E1C 6L9, registered in New Brunswick under Registration Number: 739059.</w:t>
            </w:r>
          </w:p>
        </w:tc>
      </w:tr>
      <w:tr>
        <w:trPr/>
        <w:tc>
          <w:tcPr>
            <w:tcW w:w="4257" w:type="dxa"/>
            <w:tcBorders/>
            <w:shd w:color="auto" w:fill="auto" w:val="clear"/>
          </w:tcPr>
          <w:p>
            <w:pPr>
              <w:pStyle w:val="Normal"/>
              <w:spacing w:lineRule="auto" w:line="276" w:before="0" w:after="200"/>
              <w:jc w:val="both"/>
              <w:rPr/>
            </w:pPr>
            <w:r>
              <w:rPr>
                <w:rFonts w:cs="Cambria" w:ascii="Cambria" w:hAnsi="Cambria"/>
                <w:b/>
                <w:sz w:val="22"/>
                <w:szCs w:val="22"/>
              </w:rPr>
              <w:t xml:space="preserve">2. Activities </w:t>
            </w:r>
            <w:r>
              <w:rPr>
                <w:rFonts w:cs="Cambria" w:ascii="Cambria" w:hAnsi="Cambria"/>
                <w:b/>
                <w:color w:val="000000"/>
                <w:sz w:val="22"/>
                <w:szCs w:val="22"/>
              </w:rPr>
              <w:t>of Issuer</w:t>
            </w:r>
            <w:r>
              <w:rPr>
                <w:rFonts w:cs="Cambria" w:ascii="Cambria" w:hAnsi="Cambria"/>
                <w:b/>
                <w:sz w:val="22"/>
                <w:szCs w:val="22"/>
              </w:rPr>
              <w:t>:</w:t>
            </w:r>
          </w:p>
        </w:tc>
        <w:tc>
          <w:tcPr>
            <w:tcW w:w="5377" w:type="dxa"/>
            <w:tcBorders/>
            <w:shd w:color="auto" w:fill="auto" w:val="clear"/>
          </w:tcPr>
          <w:p>
            <w:pPr>
              <w:pStyle w:val="Normal"/>
              <w:spacing w:lineRule="auto" w:line="276" w:before="0" w:after="200"/>
              <w:jc w:val="both"/>
              <w:rPr/>
            </w:pPr>
            <w:r>
              <w:rPr>
                <w:rFonts w:cs="Cambria" w:ascii="Cambria" w:hAnsi="Cambria"/>
                <w:sz w:val="22"/>
                <w:szCs w:val="22"/>
              </w:rPr>
              <w:t>The Issuer is a private company limited by shares whose activities are such as to act as a securitization vehicle</w:t>
            </w:r>
            <w:r>
              <w:rPr>
                <w:rFonts w:cs="Cambria" w:ascii="Cambria" w:hAnsi="Cambria"/>
                <w:color w:val="000000"/>
                <w:sz w:val="22"/>
                <w:szCs w:val="22"/>
              </w:rPr>
              <w:t>.</w:t>
            </w:r>
          </w:p>
        </w:tc>
      </w:tr>
      <w:tr>
        <w:trPr/>
        <w:tc>
          <w:tcPr>
            <w:tcW w:w="4257" w:type="dxa"/>
            <w:tcBorders/>
            <w:shd w:color="auto" w:fill="auto" w:val="clear"/>
          </w:tcPr>
          <w:p>
            <w:pPr>
              <w:pStyle w:val="Normal"/>
              <w:spacing w:lineRule="auto" w:line="276" w:before="0" w:after="200"/>
              <w:jc w:val="both"/>
              <w:rPr/>
            </w:pPr>
            <w:r>
              <w:rPr>
                <w:rFonts w:cs="Cambria" w:ascii="Cambria" w:hAnsi="Cambria"/>
                <w:b/>
                <w:color w:val="000000"/>
                <w:sz w:val="22"/>
                <w:szCs w:val="22"/>
              </w:rPr>
              <w:t>3. Underlying / Security Assets:</w:t>
            </w:r>
          </w:p>
        </w:tc>
        <w:tc>
          <w:tcPr>
            <w:tcW w:w="5377" w:type="dxa"/>
            <w:tcBorders/>
            <w:shd w:color="auto" w:fill="auto" w:val="clear"/>
          </w:tcPr>
          <w:p>
            <w:pPr>
              <w:pStyle w:val="Normal"/>
              <w:widowControl w:val="false"/>
              <w:spacing w:lineRule="auto" w:line="276" w:before="0" w:after="200"/>
              <w:jc w:val="both"/>
              <w:rPr>
                <w:rFonts w:ascii="Cambria" w:hAnsi="Cambria" w:cs="Cambria"/>
                <w:color w:val="000000"/>
                <w:sz w:val="22"/>
                <w:szCs w:val="22"/>
              </w:rPr>
            </w:pPr>
            <w:r>
              <w:rPr>
                <w:rFonts w:cs="Cambria" w:ascii="Cambria" w:hAnsi="Cambria"/>
                <w:color w:val="000000"/>
                <w:sz w:val="22"/>
                <w:szCs w:val="22"/>
              </w:rPr>
              <w:t xml:space="preserve">To </w:t>
            </w:r>
            <w:r>
              <w:rPr>
                <w:rFonts w:cs="Cambria" w:ascii="Cambria" w:hAnsi="Cambria"/>
                <w:sz w:val="22"/>
                <w:szCs w:val="22"/>
              </w:rPr>
              <w:t xml:space="preserve">secure all Class C Preferred Shares issued and outstanding under the True Sale </w:t>
            </w:r>
            <w:r>
              <w:rPr>
                <w:rFonts w:cs="Cambria" w:ascii="Cambria" w:hAnsi="Cambria"/>
                <w:color w:val="000000"/>
                <w:sz w:val="22"/>
                <w:szCs w:val="22"/>
              </w:rPr>
              <w:t>interest conveyed constitute a first priority grant of a perfected security interest under section 136 of the Law of Property Act 1925 (“LPA”), United Kingdom and one hundred (100%) percent securitized/collateralized by:</w:t>
            </w:r>
          </w:p>
          <w:p>
            <w:pPr>
              <w:pStyle w:val="Normal"/>
              <w:jc w:val="both"/>
              <w:rPr>
                <w:rFonts w:ascii="Cambria" w:hAnsi="Cambria"/>
                <w:sz w:val="22"/>
                <w:szCs w:val="22"/>
              </w:rPr>
            </w:pPr>
            <w:r>
              <w:rPr>
                <w:rFonts w:ascii="Cambria" w:hAnsi="Cambria"/>
                <w:sz w:val="22"/>
                <w:szCs w:val="22"/>
              </w:rPr>
              <w:t>17300000000 bearer bonds holding the following bond description: ISIN: DE0001135044, LONG DESCRIPTION: 6.5% BDS 4/7/2027 EUR0.01 in the principal amount of: EURO 173,000,000.00, represented by 17300000000 certificates</w:t>
            </w:r>
          </w:p>
          <w:p>
            <w:pPr>
              <w:pStyle w:val="Normal"/>
              <w:jc w:val="both"/>
              <w:rPr>
                <w:rFonts w:ascii="Cambria" w:hAnsi="Cambria"/>
                <w:sz w:val="22"/>
                <w:szCs w:val="22"/>
              </w:rPr>
            </w:pPr>
            <w:r>
              <w:rPr>
                <w:rFonts w:ascii="Cambria" w:hAnsi="Cambria"/>
                <w:sz w:val="22"/>
                <w:szCs w:val="22"/>
              </w:rPr>
            </w:r>
          </w:p>
        </w:tc>
      </w:tr>
      <w:tr>
        <w:trPr/>
        <w:tc>
          <w:tcPr>
            <w:tcW w:w="4257" w:type="dxa"/>
            <w:tcBorders/>
            <w:shd w:color="auto" w:fill="auto" w:val="clear"/>
          </w:tcPr>
          <w:p>
            <w:pPr>
              <w:pStyle w:val="Normal"/>
              <w:spacing w:lineRule="auto" w:line="276" w:before="0" w:after="200"/>
              <w:ind w:end="-211"/>
              <w:jc w:val="both"/>
              <w:rPr/>
            </w:pPr>
            <w:r>
              <w:rPr>
                <w:rFonts w:cs="Cambria" w:ascii="Cambria" w:hAnsi="Cambria"/>
                <w:b/>
                <w:color w:val="000000"/>
                <w:sz w:val="22"/>
                <w:szCs w:val="22"/>
              </w:rPr>
              <w:t>4.   Information on the Underlying Assets:</w:t>
            </w:r>
          </w:p>
        </w:tc>
        <w:tc>
          <w:tcPr>
            <w:tcW w:w="5377" w:type="dxa"/>
            <w:tcBorders/>
            <w:shd w:color="auto" w:fill="auto" w:val="clear"/>
          </w:tcPr>
          <w:p>
            <w:pPr>
              <w:pStyle w:val="Normal"/>
              <w:spacing w:lineRule="auto" w:line="276" w:before="0" w:after="200"/>
              <w:jc w:val="both"/>
              <w:rPr/>
            </w:pPr>
            <w:r>
              <w:rPr>
                <w:rFonts w:cs="Cambria" w:ascii="Cambria" w:hAnsi="Cambria"/>
                <w:sz w:val="22"/>
                <w:szCs w:val="22"/>
              </w:rPr>
              <w:t>Aaa</w:t>
            </w:r>
            <w:r>
              <w:rPr>
                <w:rFonts w:cs="Cambria" w:ascii="Cambria" w:hAnsi="Cambria"/>
                <w:color w:val="000000"/>
                <w:sz w:val="22"/>
                <w:szCs w:val="22"/>
              </w:rPr>
              <w:t>.</w:t>
            </w:r>
          </w:p>
        </w:tc>
      </w:tr>
      <w:tr>
        <w:trPr/>
        <w:tc>
          <w:tcPr>
            <w:tcW w:w="4257" w:type="dxa"/>
            <w:tcBorders/>
            <w:shd w:color="auto" w:fill="auto" w:val="clear"/>
          </w:tcPr>
          <w:p>
            <w:pPr>
              <w:pStyle w:val="Normal"/>
              <w:widowControl w:val="false"/>
              <w:spacing w:lineRule="auto" w:line="276" w:before="0" w:after="200"/>
              <w:ind w:start="720"/>
              <w:jc w:val="both"/>
              <w:rPr/>
            </w:pPr>
            <w:r>
              <w:rPr>
                <w:rFonts w:cs="Cambria" w:ascii="Cambria" w:hAnsi="Cambria"/>
                <w:color w:val="000000"/>
                <w:sz w:val="22"/>
                <w:szCs w:val="22"/>
              </w:rPr>
              <w:t xml:space="preserve">4.1 Loan to Value Ratio/Level of   </w:t>
              <w:br/>
              <w:t xml:space="preserve">       Internationalization:</w:t>
            </w:r>
          </w:p>
        </w:tc>
        <w:tc>
          <w:tcPr>
            <w:tcW w:w="5377" w:type="dxa"/>
            <w:tcBorders/>
            <w:shd w:color="auto" w:fill="auto" w:val="clear"/>
          </w:tcPr>
          <w:p>
            <w:pPr>
              <w:pStyle w:val="Normal"/>
              <w:spacing w:lineRule="auto" w:line="276" w:before="0" w:after="200"/>
              <w:jc w:val="both"/>
              <w:rPr/>
            </w:pPr>
            <w:r>
              <w:rPr>
                <w:rFonts w:cs="Cambria" w:ascii="Cambria" w:hAnsi="Cambria"/>
                <w:color w:val="000000"/>
                <w:sz w:val="22"/>
                <w:szCs w:val="22"/>
              </w:rPr>
              <w:t>N/A</w:t>
            </w:r>
          </w:p>
        </w:tc>
      </w:tr>
      <w:tr>
        <w:trPr/>
        <w:tc>
          <w:tcPr>
            <w:tcW w:w="4257" w:type="dxa"/>
            <w:tcBorders/>
            <w:shd w:color="auto" w:fill="auto" w:val="clear"/>
          </w:tcPr>
          <w:p>
            <w:pPr>
              <w:pStyle w:val="Normal"/>
              <w:spacing w:before="0" w:after="200"/>
              <w:jc w:val="both"/>
              <w:rPr/>
            </w:pPr>
            <w:r>
              <w:rPr>
                <w:rFonts w:cs="Cambria" w:ascii="Cambria" w:hAnsi="Cambria"/>
                <w:b/>
                <w:color w:val="000000"/>
                <w:sz w:val="22"/>
                <w:szCs w:val="22"/>
              </w:rPr>
              <w:t>5.   Substitution of Assets:</w:t>
            </w:r>
          </w:p>
        </w:tc>
        <w:tc>
          <w:tcPr>
            <w:tcW w:w="5377" w:type="dxa"/>
            <w:tcBorders/>
            <w:shd w:color="auto" w:fill="auto" w:val="clear"/>
          </w:tcPr>
          <w:p>
            <w:pPr>
              <w:pStyle w:val="Normal"/>
              <w:spacing w:before="0" w:after="200"/>
              <w:jc w:val="both"/>
              <w:rPr/>
            </w:pPr>
            <w:r>
              <w:rPr>
                <w:rFonts w:cs="Cambria" w:ascii="Cambria" w:hAnsi="Cambria"/>
                <w:color w:val="000000"/>
                <w:sz w:val="22"/>
                <w:szCs w:val="22"/>
              </w:rPr>
              <w:t>Not Allowed / Fungible</w:t>
            </w:r>
          </w:p>
        </w:tc>
      </w:tr>
      <w:tr>
        <w:trPr/>
        <w:tc>
          <w:tcPr>
            <w:tcW w:w="4257" w:type="dxa"/>
            <w:tcBorders/>
            <w:shd w:color="auto" w:fill="auto" w:val="clear"/>
          </w:tcPr>
          <w:p>
            <w:pPr>
              <w:pStyle w:val="Normal"/>
              <w:spacing w:before="0" w:after="200"/>
              <w:jc w:val="both"/>
              <w:rPr/>
            </w:pPr>
            <w:r>
              <w:rPr>
                <w:rFonts w:cs="Cambria" w:ascii="Cambria" w:hAnsi="Cambria"/>
                <w:b/>
                <w:color w:val="000000"/>
                <w:sz w:val="22"/>
                <w:szCs w:val="22"/>
              </w:rPr>
              <w:t xml:space="preserve">6.   Eligibility criteria </w:t>
            </w:r>
            <w:r>
              <w:rPr>
                <w:rFonts w:cs="Cambria" w:ascii="Cambria" w:hAnsi="Cambria"/>
                <w:b/>
                <w:bCs/>
                <w:sz w:val="22"/>
                <w:szCs w:val="22"/>
              </w:rPr>
              <w:t xml:space="preserve">for a value of relating to the </w:t>
            </w:r>
            <w:r>
              <w:rPr>
                <w:rFonts w:cs="Cambria" w:ascii="Cambria" w:hAnsi="Cambria"/>
                <w:b/>
                <w:bCs/>
                <w:color w:val="000000"/>
                <w:sz w:val="22"/>
                <w:szCs w:val="22"/>
              </w:rPr>
              <w:t>Underlying / Security Assets:</w:t>
            </w:r>
          </w:p>
        </w:tc>
        <w:tc>
          <w:tcPr>
            <w:tcW w:w="5377" w:type="dxa"/>
            <w:tcBorders/>
            <w:shd w:color="auto" w:fill="auto" w:val="clear"/>
          </w:tcPr>
          <w:p>
            <w:pPr>
              <w:pStyle w:val="Normal"/>
              <w:spacing w:before="0" w:after="200"/>
              <w:jc w:val="both"/>
              <w:rPr/>
            </w:pPr>
            <w:r>
              <w:rPr>
                <w:rFonts w:cs="Cambria" w:ascii="Cambria" w:hAnsi="Cambria"/>
                <w:sz w:val="22"/>
                <w:szCs w:val="22"/>
              </w:rPr>
              <w:t>CAD 280,000,000 (Two Hundred Eighty Million Canadian Dollars) capital market valuation.</w:t>
            </w:r>
          </w:p>
        </w:tc>
      </w:tr>
      <w:tr>
        <w:trPr/>
        <w:tc>
          <w:tcPr>
            <w:tcW w:w="4257" w:type="dxa"/>
            <w:tcBorders/>
            <w:shd w:color="auto" w:fill="auto" w:val="clear"/>
          </w:tcPr>
          <w:p>
            <w:pPr>
              <w:pStyle w:val="Normal"/>
              <w:spacing w:before="0" w:after="200"/>
              <w:jc w:val="both"/>
              <w:rPr/>
            </w:pPr>
            <w:r>
              <w:rPr>
                <w:rFonts w:cs="Cambria" w:ascii="Cambria" w:hAnsi="Cambria"/>
                <w:b/>
                <w:color w:val="000000"/>
                <w:sz w:val="22"/>
                <w:szCs w:val="22"/>
              </w:rPr>
              <w:t>7.   Form of Securities:</w:t>
            </w:r>
          </w:p>
        </w:tc>
        <w:tc>
          <w:tcPr>
            <w:tcW w:w="5377" w:type="dxa"/>
            <w:tcBorders/>
            <w:shd w:color="auto" w:fill="auto" w:val="clear"/>
          </w:tcPr>
          <w:p>
            <w:pPr>
              <w:pStyle w:val="Normal"/>
              <w:spacing w:before="0" w:after="200"/>
              <w:jc w:val="both"/>
              <w:rPr/>
            </w:pPr>
            <w:r>
              <w:rPr>
                <w:rFonts w:cs="Cambria" w:ascii="Cambria" w:hAnsi="Cambria"/>
                <w:color w:val="000000"/>
                <w:sz w:val="22"/>
                <w:szCs w:val="22"/>
              </w:rPr>
              <w:t>Class C Preferred Shares secured by the Underlying Security Assets, issued under a perfected security interest under section 136 of the Law of Property Act 1925 (“LPA”) as affiliated to TMX-CDS.</w:t>
            </w:r>
          </w:p>
        </w:tc>
      </w:tr>
      <w:tr>
        <w:trPr/>
        <w:tc>
          <w:tcPr>
            <w:tcW w:w="4257" w:type="dxa"/>
            <w:tcBorders/>
            <w:shd w:color="auto" w:fill="auto" w:val="clear"/>
          </w:tcPr>
          <w:p>
            <w:pPr>
              <w:pStyle w:val="Normal"/>
              <w:spacing w:before="0" w:after="200"/>
              <w:jc w:val="both"/>
              <w:rPr/>
            </w:pPr>
            <w:r>
              <w:rPr>
                <w:rFonts w:cs="Cambria" w:ascii="Cambria" w:hAnsi="Cambria"/>
                <w:b/>
                <w:color w:val="000000"/>
                <w:sz w:val="22"/>
                <w:szCs w:val="22"/>
              </w:rPr>
              <w:t>8.    Offer:</w:t>
            </w:r>
          </w:p>
        </w:tc>
        <w:tc>
          <w:tcPr>
            <w:tcW w:w="5377" w:type="dxa"/>
            <w:tcBorders/>
            <w:shd w:color="auto" w:fill="auto" w:val="clear"/>
          </w:tcPr>
          <w:p>
            <w:pPr>
              <w:pStyle w:val="Normal"/>
              <w:widowControl w:val="false"/>
              <w:spacing w:before="0" w:after="200"/>
              <w:ind w:hanging="2160" w:start="2160"/>
              <w:jc w:val="both"/>
              <w:rPr/>
            </w:pPr>
            <w:r>
              <w:rPr>
                <w:rFonts w:cs="Cambria" w:ascii="Cambria" w:hAnsi="Cambria"/>
                <w:color w:val="000000"/>
                <w:sz w:val="22"/>
                <w:szCs w:val="22"/>
              </w:rPr>
              <w:t>Private Offer</w:t>
            </w:r>
          </w:p>
        </w:tc>
      </w:tr>
      <w:tr>
        <w:trPr/>
        <w:tc>
          <w:tcPr>
            <w:tcW w:w="4257" w:type="dxa"/>
            <w:tcBorders/>
            <w:shd w:color="auto" w:fill="auto" w:val="clear"/>
          </w:tcPr>
          <w:p>
            <w:pPr>
              <w:pStyle w:val="Normal"/>
              <w:spacing w:before="0" w:after="200"/>
              <w:jc w:val="both"/>
              <w:rPr/>
            </w:pPr>
            <w:r>
              <w:rPr>
                <w:rFonts w:cs="Cambria" w:ascii="Cambria" w:hAnsi="Cambria"/>
                <w:b/>
                <w:color w:val="000000"/>
                <w:sz w:val="22"/>
                <w:szCs w:val="22"/>
              </w:rPr>
              <w:t>9.    Currency:</w:t>
            </w:r>
          </w:p>
        </w:tc>
        <w:tc>
          <w:tcPr>
            <w:tcW w:w="5377" w:type="dxa"/>
            <w:tcBorders/>
            <w:shd w:color="auto" w:fill="auto" w:val="clear"/>
          </w:tcPr>
          <w:p>
            <w:pPr>
              <w:pStyle w:val="Normal"/>
              <w:widowControl w:val="false"/>
              <w:spacing w:before="0" w:after="200"/>
              <w:jc w:val="both"/>
              <w:rPr/>
            </w:pPr>
            <w:r>
              <w:rPr>
                <w:rFonts w:cs="Cambria" w:ascii="Cambria" w:hAnsi="Cambria"/>
                <w:color w:val="000000"/>
                <w:sz w:val="22"/>
                <w:szCs w:val="22"/>
              </w:rPr>
              <w:t>CAD</w:t>
            </w:r>
          </w:p>
        </w:tc>
      </w:tr>
      <w:tr>
        <w:trPr/>
        <w:tc>
          <w:tcPr>
            <w:tcW w:w="4257" w:type="dxa"/>
            <w:tcBorders/>
            <w:shd w:color="auto" w:fill="auto" w:val="clear"/>
          </w:tcPr>
          <w:p>
            <w:pPr>
              <w:pStyle w:val="Normal"/>
              <w:spacing w:before="0" w:after="200"/>
              <w:jc w:val="both"/>
              <w:rPr/>
            </w:pPr>
            <w:r>
              <w:rPr>
                <w:rFonts w:cs="Cambria" w:ascii="Cambria" w:hAnsi="Cambria"/>
                <w:b/>
                <w:color w:val="000000"/>
                <w:sz w:val="22"/>
                <w:szCs w:val="22"/>
              </w:rPr>
              <w:t>10. Trading Method:</w:t>
            </w:r>
          </w:p>
        </w:tc>
        <w:tc>
          <w:tcPr>
            <w:tcW w:w="5377" w:type="dxa"/>
            <w:tcBorders/>
            <w:shd w:color="auto" w:fill="auto" w:val="clear"/>
          </w:tcPr>
          <w:p>
            <w:pPr>
              <w:pStyle w:val="Normal"/>
              <w:widowControl w:val="false"/>
              <w:spacing w:before="0" w:after="200"/>
              <w:ind w:hanging="2160" w:start="2160"/>
              <w:jc w:val="both"/>
              <w:rPr/>
            </w:pPr>
            <w:r>
              <w:rPr>
                <w:rFonts w:cs="Cambria" w:ascii="Cambria" w:hAnsi="Cambria"/>
                <w:color w:val="000000"/>
                <w:sz w:val="22"/>
                <w:szCs w:val="22"/>
              </w:rPr>
              <w:t>Nominal/Unit</w:t>
            </w:r>
          </w:p>
        </w:tc>
      </w:tr>
      <w:tr>
        <w:trPr/>
        <w:tc>
          <w:tcPr>
            <w:tcW w:w="4257" w:type="dxa"/>
            <w:tcBorders/>
            <w:shd w:color="auto" w:fill="auto" w:val="clear"/>
          </w:tcPr>
          <w:p>
            <w:pPr>
              <w:pStyle w:val="Normal"/>
              <w:spacing w:before="0" w:after="200"/>
              <w:jc w:val="both"/>
              <w:rPr/>
            </w:pPr>
            <w:r>
              <w:rPr>
                <w:rFonts w:cs="Cambria" w:ascii="Cambria" w:hAnsi="Cambria"/>
                <w:b/>
                <w:color w:val="000000"/>
                <w:sz w:val="22"/>
                <w:szCs w:val="22"/>
              </w:rPr>
              <w:t>11.  Minimum Trading Size:</w:t>
            </w:r>
          </w:p>
        </w:tc>
        <w:tc>
          <w:tcPr>
            <w:tcW w:w="5377" w:type="dxa"/>
            <w:tcBorders/>
            <w:shd w:color="auto" w:fill="auto" w:val="clear"/>
          </w:tcPr>
          <w:p>
            <w:pPr>
              <w:pStyle w:val="Normal"/>
              <w:widowControl w:val="false"/>
              <w:spacing w:before="0" w:after="200"/>
              <w:ind w:hanging="2160" w:start="2160"/>
              <w:jc w:val="both"/>
              <w:rPr/>
            </w:pPr>
            <w:r>
              <w:rPr>
                <w:rFonts w:cs="Cambria" w:ascii="Cambria" w:hAnsi="Cambria"/>
                <w:color w:val="000000"/>
                <w:sz w:val="22"/>
                <w:szCs w:val="22"/>
              </w:rPr>
              <w:t>1</w:t>
            </w:r>
          </w:p>
        </w:tc>
      </w:tr>
      <w:tr>
        <w:trPr/>
        <w:tc>
          <w:tcPr>
            <w:tcW w:w="4257" w:type="dxa"/>
            <w:tcBorders/>
            <w:shd w:color="auto" w:fill="auto" w:val="clear"/>
          </w:tcPr>
          <w:p>
            <w:pPr>
              <w:pStyle w:val="Normal"/>
              <w:spacing w:before="0" w:after="200"/>
              <w:jc w:val="both"/>
              <w:rPr/>
            </w:pPr>
            <w:r>
              <w:rPr>
                <w:rFonts w:cs="Cambria" w:ascii="Cambria" w:hAnsi="Cambria"/>
                <w:b/>
                <w:color w:val="000000"/>
                <w:sz w:val="22"/>
                <w:szCs w:val="22"/>
              </w:rPr>
              <w:t>12.  Minimum Denomination:</w:t>
            </w:r>
          </w:p>
        </w:tc>
        <w:tc>
          <w:tcPr>
            <w:tcW w:w="5377" w:type="dxa"/>
            <w:tcBorders/>
            <w:shd w:color="auto" w:fill="auto" w:val="clear"/>
          </w:tcPr>
          <w:p>
            <w:pPr>
              <w:pStyle w:val="Normal"/>
              <w:widowControl w:val="false"/>
              <w:spacing w:before="0" w:after="200"/>
              <w:ind w:hanging="2160" w:start="2160"/>
              <w:jc w:val="both"/>
              <w:rPr/>
            </w:pPr>
            <w:r>
              <w:rPr>
                <w:rFonts w:cs="Cambria" w:ascii="Cambria" w:hAnsi="Cambria"/>
                <w:color w:val="000000"/>
                <w:sz w:val="22"/>
                <w:szCs w:val="22"/>
              </w:rPr>
              <w:t>CAD$ 1.00 (One Canadian Dollar)</w:t>
            </w:r>
          </w:p>
        </w:tc>
      </w:tr>
      <w:tr>
        <w:trPr/>
        <w:tc>
          <w:tcPr>
            <w:tcW w:w="4257" w:type="dxa"/>
            <w:tcBorders/>
            <w:shd w:color="auto" w:fill="auto" w:val="clear"/>
          </w:tcPr>
          <w:p>
            <w:pPr>
              <w:pStyle w:val="Normal"/>
              <w:spacing w:before="0" w:after="200"/>
              <w:jc w:val="both"/>
              <w:rPr/>
            </w:pPr>
            <w:r>
              <w:rPr>
                <w:rFonts w:cs="Cambria" w:ascii="Cambria" w:hAnsi="Cambria"/>
                <w:b/>
                <w:color w:val="000000"/>
                <w:sz w:val="22"/>
                <w:szCs w:val="22"/>
              </w:rPr>
              <w:t>13.  Multiple Denominations:</w:t>
            </w:r>
          </w:p>
        </w:tc>
        <w:tc>
          <w:tcPr>
            <w:tcW w:w="5377" w:type="dxa"/>
            <w:tcBorders/>
            <w:shd w:color="auto" w:fill="auto" w:val="clear"/>
          </w:tcPr>
          <w:p>
            <w:pPr>
              <w:pStyle w:val="Normal"/>
              <w:widowControl w:val="false"/>
              <w:spacing w:before="0" w:after="200"/>
              <w:ind w:hanging="2160" w:start="2160"/>
              <w:jc w:val="both"/>
              <w:rPr/>
            </w:pPr>
            <w:r>
              <w:rPr>
                <w:rFonts w:cs="Cambria" w:ascii="Cambria" w:hAnsi="Cambria"/>
                <w:color w:val="000000"/>
                <w:sz w:val="22"/>
                <w:szCs w:val="22"/>
              </w:rPr>
              <w:t>NO</w:t>
            </w:r>
          </w:p>
        </w:tc>
      </w:tr>
      <w:tr>
        <w:trPr/>
        <w:tc>
          <w:tcPr>
            <w:tcW w:w="4257" w:type="dxa"/>
            <w:tcBorders/>
            <w:shd w:color="auto" w:fill="auto" w:val="clear"/>
          </w:tcPr>
          <w:p>
            <w:pPr>
              <w:pStyle w:val="Normal"/>
              <w:spacing w:before="0" w:after="200"/>
              <w:jc w:val="both"/>
              <w:rPr/>
            </w:pPr>
            <w:r>
              <w:rPr>
                <w:rFonts w:cs="Cambria" w:ascii="Cambria" w:hAnsi="Cambria"/>
                <w:b/>
                <w:color w:val="000000"/>
                <w:sz w:val="22"/>
                <w:szCs w:val="22"/>
              </w:rPr>
              <w:t>14.  Issue Price:</w:t>
            </w:r>
          </w:p>
        </w:tc>
        <w:tc>
          <w:tcPr>
            <w:tcW w:w="5377" w:type="dxa"/>
            <w:tcBorders/>
            <w:shd w:color="auto" w:fill="auto" w:val="clear"/>
          </w:tcPr>
          <w:p>
            <w:pPr>
              <w:pStyle w:val="Normal"/>
              <w:widowControl w:val="false"/>
              <w:spacing w:before="0" w:after="200"/>
              <w:ind w:hanging="2160" w:start="2160"/>
              <w:jc w:val="both"/>
              <w:rPr/>
            </w:pPr>
            <w:r>
              <w:rPr>
                <w:rFonts w:cs="Cambria" w:ascii="Cambria" w:hAnsi="Cambria"/>
                <w:color w:val="000000"/>
                <w:sz w:val="22"/>
                <w:szCs w:val="22"/>
              </w:rPr>
              <w:t>100% of Face Value</w:t>
            </w:r>
          </w:p>
        </w:tc>
      </w:tr>
      <w:tr>
        <w:trPr/>
        <w:tc>
          <w:tcPr>
            <w:tcW w:w="4257" w:type="dxa"/>
            <w:tcBorders/>
            <w:shd w:color="auto" w:fill="auto" w:val="clear"/>
          </w:tcPr>
          <w:p>
            <w:pPr>
              <w:pStyle w:val="Normal"/>
              <w:spacing w:before="0" w:after="200"/>
              <w:jc w:val="both"/>
              <w:rPr/>
            </w:pPr>
            <w:r>
              <w:rPr>
                <w:rFonts w:cs="Cambria" w:ascii="Cambria" w:hAnsi="Cambria"/>
                <w:b/>
                <w:color w:val="000000"/>
                <w:sz w:val="22"/>
                <w:szCs w:val="22"/>
              </w:rPr>
              <w:t>15.  Total amount of Issue:</w:t>
            </w:r>
          </w:p>
        </w:tc>
        <w:tc>
          <w:tcPr>
            <w:tcW w:w="5377" w:type="dxa"/>
            <w:tcBorders/>
            <w:shd w:color="auto" w:fill="auto" w:val="clear"/>
          </w:tcPr>
          <w:p>
            <w:pPr>
              <w:pStyle w:val="Normal"/>
              <w:widowControl w:val="false"/>
              <w:spacing w:before="0" w:after="200"/>
              <w:jc w:val="both"/>
              <w:rPr/>
            </w:pPr>
            <w:r>
              <w:rPr>
                <w:rFonts w:cs="Cambria" w:ascii="Cambria" w:hAnsi="Cambria"/>
                <w:sz w:val="22"/>
                <w:szCs w:val="22"/>
              </w:rPr>
              <w:t>CAD 280,000,000 (Two Hundred Eighty Million Canadian Dollars) capital market valuation.</w:t>
            </w:r>
          </w:p>
        </w:tc>
      </w:tr>
      <w:tr>
        <w:trPr/>
        <w:tc>
          <w:tcPr>
            <w:tcW w:w="4257" w:type="dxa"/>
            <w:tcBorders/>
            <w:shd w:color="auto" w:fill="auto" w:val="clear"/>
          </w:tcPr>
          <w:p>
            <w:pPr>
              <w:pStyle w:val="Normal"/>
              <w:spacing w:before="0" w:after="200"/>
              <w:jc w:val="both"/>
              <w:rPr/>
            </w:pPr>
            <w:r>
              <w:rPr>
                <w:rFonts w:cs="Cambria" w:ascii="Cambria" w:hAnsi="Cambria"/>
                <w:b/>
                <w:color w:val="000000"/>
                <w:sz w:val="22"/>
                <w:szCs w:val="22"/>
              </w:rPr>
              <w:t>16.  ISIN Code:</w:t>
            </w:r>
          </w:p>
        </w:tc>
        <w:tc>
          <w:tcPr>
            <w:tcW w:w="5377" w:type="dxa"/>
            <w:tcBorders/>
            <w:shd w:color="auto" w:fill="auto" w:val="clear"/>
          </w:tcPr>
          <w:p>
            <w:pPr>
              <w:pStyle w:val="Normal"/>
              <w:widowControl w:val="false"/>
              <w:spacing w:before="0" w:after="200"/>
              <w:jc w:val="both"/>
              <w:rPr>
                <w:b/>
              </w:rPr>
            </w:pPr>
            <w:r>
              <w:rPr>
                <w:b/>
              </w:rPr>
              <w:t>CA88411M2085</w:t>
            </w:r>
          </w:p>
        </w:tc>
      </w:tr>
      <w:tr>
        <w:trPr/>
        <w:tc>
          <w:tcPr>
            <w:tcW w:w="4257" w:type="dxa"/>
            <w:tcBorders/>
            <w:shd w:color="auto" w:fill="auto" w:val="clear"/>
          </w:tcPr>
          <w:p>
            <w:pPr>
              <w:pStyle w:val="Normal"/>
              <w:spacing w:before="0" w:after="200"/>
              <w:jc w:val="both"/>
              <w:rPr/>
            </w:pPr>
            <w:r>
              <w:rPr>
                <w:rFonts w:cs="Cambria" w:ascii="Cambria" w:hAnsi="Cambria"/>
                <w:b/>
                <w:color w:val="000000"/>
                <w:sz w:val="22"/>
                <w:szCs w:val="22"/>
              </w:rPr>
              <w:t>17.  CUSIP Code:</w:t>
            </w:r>
          </w:p>
        </w:tc>
        <w:tc>
          <w:tcPr>
            <w:tcW w:w="5377" w:type="dxa"/>
            <w:tcBorders/>
            <w:shd w:color="auto" w:fill="auto" w:val="clear"/>
          </w:tcPr>
          <w:p>
            <w:pPr>
              <w:pStyle w:val="Normal"/>
              <w:widowControl w:val="false"/>
              <w:spacing w:before="0" w:after="200"/>
              <w:jc w:val="both"/>
              <w:rPr>
                <w:b/>
              </w:rPr>
            </w:pPr>
            <w:r>
              <w:rPr>
                <w:b/>
              </w:rPr>
              <w:t>88411M208</w:t>
            </w:r>
          </w:p>
        </w:tc>
      </w:tr>
      <w:tr>
        <w:trPr/>
        <w:tc>
          <w:tcPr>
            <w:tcW w:w="4257" w:type="dxa"/>
            <w:tcBorders/>
            <w:shd w:color="auto" w:fill="auto" w:val="clear"/>
          </w:tcPr>
          <w:p>
            <w:pPr>
              <w:pStyle w:val="Normal"/>
              <w:spacing w:before="0" w:after="200"/>
              <w:jc w:val="both"/>
              <w:rPr/>
            </w:pPr>
            <w:r>
              <w:rPr>
                <w:rFonts w:cs="Cambria" w:ascii="Cambria" w:hAnsi="Cambria"/>
                <w:b/>
                <w:color w:val="000000"/>
                <w:sz w:val="22"/>
                <w:szCs w:val="22"/>
              </w:rPr>
              <w:t>18.  Terms of Period:</w:t>
            </w:r>
          </w:p>
        </w:tc>
        <w:tc>
          <w:tcPr>
            <w:tcW w:w="5377" w:type="dxa"/>
            <w:tcBorders/>
            <w:shd w:color="auto" w:fill="auto" w:val="clear"/>
          </w:tcPr>
          <w:p>
            <w:pPr>
              <w:pStyle w:val="Normal"/>
              <w:widowControl w:val="false"/>
              <w:spacing w:before="0" w:after="200"/>
              <w:jc w:val="both"/>
              <w:rPr/>
            </w:pPr>
            <w:r>
              <w:rPr>
                <w:rFonts w:cs="Cambria" w:ascii="Cambria" w:hAnsi="Cambria"/>
                <w:color w:val="000000"/>
                <w:sz w:val="22"/>
                <w:szCs w:val="22"/>
              </w:rPr>
              <w:t>Five (5) Years</w:t>
            </w:r>
          </w:p>
        </w:tc>
      </w:tr>
      <w:tr>
        <w:trPr/>
        <w:tc>
          <w:tcPr>
            <w:tcW w:w="4257" w:type="dxa"/>
            <w:tcBorders/>
            <w:shd w:color="auto" w:fill="auto" w:val="clear"/>
          </w:tcPr>
          <w:p>
            <w:pPr>
              <w:pStyle w:val="Normal"/>
              <w:spacing w:before="0" w:after="200"/>
              <w:jc w:val="both"/>
              <w:rPr/>
            </w:pPr>
            <w:r>
              <w:rPr>
                <w:rFonts w:cs="Cambria" w:ascii="Cambria" w:hAnsi="Cambria"/>
                <w:b/>
                <w:color w:val="000000"/>
                <w:sz w:val="22"/>
                <w:szCs w:val="22"/>
              </w:rPr>
              <w:t>19.  Minimum Amount of Application:</w:t>
            </w:r>
          </w:p>
        </w:tc>
        <w:tc>
          <w:tcPr>
            <w:tcW w:w="5377" w:type="dxa"/>
            <w:tcBorders/>
            <w:shd w:color="auto" w:fill="auto" w:val="clear"/>
          </w:tcPr>
          <w:p>
            <w:pPr>
              <w:pStyle w:val="Normal"/>
              <w:widowControl w:val="false"/>
              <w:spacing w:before="0" w:after="200"/>
              <w:jc w:val="both"/>
              <w:rPr/>
            </w:pPr>
            <w:r>
              <w:rPr>
                <w:rFonts w:cs="Cambria" w:ascii="Cambria" w:hAnsi="Cambria"/>
                <w:color w:val="000000"/>
                <w:sz w:val="22"/>
                <w:szCs w:val="22"/>
              </w:rPr>
              <w:t>CAD$ 1.00 (One Canadian Dollar)</w:t>
            </w:r>
          </w:p>
        </w:tc>
      </w:tr>
      <w:tr>
        <w:trPr/>
        <w:tc>
          <w:tcPr>
            <w:tcW w:w="4257" w:type="dxa"/>
            <w:tcBorders/>
            <w:shd w:color="auto" w:fill="auto" w:val="clear"/>
          </w:tcPr>
          <w:p>
            <w:pPr>
              <w:pStyle w:val="Normal"/>
              <w:spacing w:before="0" w:after="200"/>
              <w:jc w:val="both"/>
              <w:rPr/>
            </w:pPr>
            <w:r>
              <w:rPr>
                <w:rFonts w:cs="Cambria" w:ascii="Cambria" w:hAnsi="Cambria"/>
                <w:b/>
                <w:color w:val="000000"/>
                <w:sz w:val="22"/>
                <w:szCs w:val="22"/>
              </w:rPr>
              <w:t>20.  Maximum amount of application:</w:t>
            </w:r>
          </w:p>
        </w:tc>
        <w:tc>
          <w:tcPr>
            <w:tcW w:w="5377" w:type="dxa"/>
            <w:tcBorders/>
            <w:shd w:color="auto" w:fill="auto" w:val="clear"/>
          </w:tcPr>
          <w:p>
            <w:pPr>
              <w:pStyle w:val="Normal"/>
              <w:widowControl w:val="false"/>
              <w:spacing w:before="0" w:after="200"/>
              <w:jc w:val="both"/>
              <w:rPr/>
            </w:pPr>
            <w:r>
              <w:rPr>
                <w:rFonts w:cs="Cambria" w:ascii="Cambria" w:hAnsi="Cambria"/>
                <w:sz w:val="22"/>
                <w:szCs w:val="22"/>
              </w:rPr>
              <w:t>CAD 280,000,000 (Two Hundred Eighty Million Canadian Dollars) capital market valuation.</w:t>
            </w:r>
          </w:p>
        </w:tc>
      </w:tr>
      <w:tr>
        <w:trPr/>
        <w:tc>
          <w:tcPr>
            <w:tcW w:w="4257" w:type="dxa"/>
            <w:tcBorders/>
            <w:shd w:color="auto" w:fill="auto" w:val="clear"/>
          </w:tcPr>
          <w:p>
            <w:pPr>
              <w:pStyle w:val="Normal"/>
              <w:spacing w:before="0" w:after="200"/>
              <w:jc w:val="both"/>
              <w:rPr/>
            </w:pPr>
            <w:r>
              <w:rPr>
                <w:rFonts w:cs="Cambria" w:ascii="Cambria" w:hAnsi="Cambria"/>
                <w:b/>
                <w:color w:val="000000"/>
                <w:sz w:val="22"/>
                <w:szCs w:val="22"/>
              </w:rPr>
              <w:t>21.  Mode of transaction method:</w:t>
            </w:r>
          </w:p>
        </w:tc>
        <w:tc>
          <w:tcPr>
            <w:tcW w:w="5377" w:type="dxa"/>
            <w:tcBorders/>
            <w:shd w:color="auto" w:fill="auto" w:val="clear"/>
          </w:tcPr>
          <w:p>
            <w:pPr>
              <w:pStyle w:val="Normal"/>
              <w:widowControl w:val="false"/>
              <w:spacing w:before="0" w:after="200"/>
              <w:ind w:hanging="2160" w:start="2160"/>
              <w:jc w:val="both"/>
              <w:rPr/>
            </w:pPr>
            <w:r>
              <w:rPr>
                <w:rFonts w:cs="Cambria" w:ascii="Cambria" w:hAnsi="Cambria"/>
                <w:spacing w:val="-1"/>
                <w:sz w:val="22"/>
                <w:szCs w:val="22"/>
              </w:rPr>
              <w:t>D</w:t>
            </w:r>
            <w:r>
              <w:rPr>
                <w:rFonts w:cs="Cambria" w:ascii="Cambria" w:hAnsi="Cambria"/>
                <w:sz w:val="22"/>
                <w:szCs w:val="22"/>
              </w:rPr>
              <w:t>e</w:t>
            </w:r>
            <w:r>
              <w:rPr>
                <w:rFonts w:cs="Cambria" w:ascii="Cambria" w:hAnsi="Cambria"/>
                <w:spacing w:val="1"/>
                <w:sz w:val="22"/>
                <w:szCs w:val="22"/>
              </w:rPr>
              <w:t>li</w:t>
            </w:r>
            <w:r>
              <w:rPr>
                <w:rFonts w:cs="Cambria" w:ascii="Cambria" w:hAnsi="Cambria"/>
                <w:spacing w:val="-2"/>
                <w:sz w:val="22"/>
                <w:szCs w:val="22"/>
              </w:rPr>
              <w:t>v</w:t>
            </w:r>
            <w:r>
              <w:rPr>
                <w:rFonts w:cs="Cambria" w:ascii="Cambria" w:hAnsi="Cambria"/>
                <w:sz w:val="22"/>
                <w:szCs w:val="22"/>
              </w:rPr>
              <w:t>e</w:t>
            </w:r>
            <w:r>
              <w:rPr>
                <w:rFonts w:cs="Cambria" w:ascii="Cambria" w:hAnsi="Cambria"/>
                <w:spacing w:val="1"/>
                <w:sz w:val="22"/>
                <w:szCs w:val="22"/>
              </w:rPr>
              <w:t>r</w:t>
            </w:r>
            <w:r>
              <w:rPr>
                <w:rFonts w:cs="Cambria" w:ascii="Cambria" w:hAnsi="Cambria"/>
                <w:sz w:val="22"/>
                <w:szCs w:val="22"/>
              </w:rPr>
              <w:t>y</w:t>
            </w:r>
            <w:r>
              <w:rPr>
                <w:rFonts w:cs="Cambria" w:ascii="Cambria" w:hAnsi="Cambria"/>
                <w:spacing w:val="-2"/>
                <w:sz w:val="22"/>
                <w:szCs w:val="22"/>
              </w:rPr>
              <w:t xml:space="preserve"> </w:t>
            </w:r>
            <w:r>
              <w:rPr>
                <w:rFonts w:cs="Cambria" w:ascii="Cambria" w:hAnsi="Cambria"/>
                <w:spacing w:val="1"/>
                <w:sz w:val="22"/>
                <w:szCs w:val="22"/>
              </w:rPr>
              <w:t>[</w:t>
            </w:r>
            <w:r>
              <w:rPr>
                <w:rFonts w:cs="Cambria" w:ascii="Cambria" w:hAnsi="Cambria"/>
                <w:sz w:val="22"/>
                <w:szCs w:val="22"/>
              </w:rPr>
              <w:t>a</w:t>
            </w:r>
            <w:r>
              <w:rPr>
                <w:rFonts w:cs="Cambria" w:ascii="Cambria" w:hAnsi="Cambria"/>
                <w:spacing w:val="-2"/>
                <w:sz w:val="22"/>
                <w:szCs w:val="22"/>
              </w:rPr>
              <w:t>g</w:t>
            </w:r>
            <w:r>
              <w:rPr>
                <w:rFonts w:cs="Cambria" w:ascii="Cambria" w:hAnsi="Cambria"/>
                <w:sz w:val="22"/>
                <w:szCs w:val="22"/>
              </w:rPr>
              <w:t>a</w:t>
            </w:r>
            <w:r>
              <w:rPr>
                <w:rFonts w:cs="Cambria" w:ascii="Cambria" w:hAnsi="Cambria"/>
                <w:spacing w:val="1"/>
                <w:sz w:val="22"/>
                <w:szCs w:val="22"/>
              </w:rPr>
              <w:t>i</w:t>
            </w:r>
            <w:r>
              <w:rPr>
                <w:rFonts w:cs="Cambria" w:ascii="Cambria" w:hAnsi="Cambria"/>
                <w:spacing w:val="-2"/>
                <w:sz w:val="22"/>
                <w:szCs w:val="22"/>
              </w:rPr>
              <w:t>n</w:t>
            </w:r>
            <w:r>
              <w:rPr>
                <w:rFonts w:cs="Cambria" w:ascii="Cambria" w:hAnsi="Cambria"/>
                <w:sz w:val="22"/>
                <w:szCs w:val="22"/>
              </w:rPr>
              <w:t>s</w:t>
            </w:r>
            <w:r>
              <w:rPr>
                <w:rFonts w:cs="Cambria" w:ascii="Cambria" w:hAnsi="Cambria"/>
                <w:spacing w:val="-1"/>
                <w:sz w:val="22"/>
                <w:szCs w:val="22"/>
              </w:rPr>
              <w:t>t</w:t>
            </w:r>
            <w:r>
              <w:rPr>
                <w:rFonts w:cs="Cambria" w:ascii="Cambria" w:hAnsi="Cambria"/>
                <w:spacing w:val="1"/>
                <w:sz w:val="22"/>
                <w:szCs w:val="22"/>
              </w:rPr>
              <w:t>/</w:t>
            </w:r>
            <w:r>
              <w:rPr>
                <w:rFonts w:cs="Cambria" w:ascii="Cambria" w:hAnsi="Cambria"/>
                <w:spacing w:val="-2"/>
                <w:sz w:val="22"/>
                <w:szCs w:val="22"/>
              </w:rPr>
              <w:t>f</w:t>
            </w:r>
            <w:r>
              <w:rPr>
                <w:rFonts w:cs="Cambria" w:ascii="Cambria" w:hAnsi="Cambria"/>
                <w:spacing w:val="1"/>
                <w:sz w:val="22"/>
                <w:szCs w:val="22"/>
              </w:rPr>
              <w:t>r</w:t>
            </w:r>
            <w:r>
              <w:rPr>
                <w:rFonts w:cs="Cambria" w:ascii="Cambria" w:hAnsi="Cambria"/>
                <w:sz w:val="22"/>
                <w:szCs w:val="22"/>
              </w:rPr>
              <w:t>ee</w:t>
            </w:r>
            <w:r>
              <w:rPr>
                <w:rFonts w:cs="Cambria" w:ascii="Cambria" w:hAnsi="Cambria"/>
                <w:spacing w:val="-2"/>
                <w:sz w:val="22"/>
                <w:szCs w:val="22"/>
              </w:rPr>
              <w:t xml:space="preserve"> </w:t>
            </w:r>
            <w:r>
              <w:rPr>
                <w:rFonts w:cs="Cambria" w:ascii="Cambria" w:hAnsi="Cambria"/>
                <w:sz w:val="22"/>
                <w:szCs w:val="22"/>
              </w:rPr>
              <w:t>o</w:t>
            </w:r>
            <w:r>
              <w:rPr>
                <w:rFonts w:cs="Cambria" w:ascii="Cambria" w:hAnsi="Cambria"/>
                <w:spacing w:val="1"/>
                <w:sz w:val="22"/>
                <w:szCs w:val="22"/>
              </w:rPr>
              <w:t>f</w:t>
            </w:r>
            <w:r>
              <w:rPr>
                <w:rFonts w:cs="Cambria" w:ascii="Cambria" w:hAnsi="Cambria"/>
                <w:sz w:val="22"/>
                <w:szCs w:val="22"/>
              </w:rPr>
              <w:t>]</w:t>
            </w:r>
            <w:r>
              <w:rPr>
                <w:rFonts w:cs="Cambria" w:ascii="Cambria" w:hAnsi="Cambria"/>
                <w:spacing w:val="1"/>
                <w:sz w:val="22"/>
                <w:szCs w:val="22"/>
              </w:rPr>
              <w:t xml:space="preserve"> </w:t>
            </w:r>
            <w:r>
              <w:rPr>
                <w:rFonts w:cs="Cambria" w:ascii="Cambria" w:hAnsi="Cambria"/>
                <w:spacing w:val="-2"/>
                <w:sz w:val="22"/>
                <w:szCs w:val="22"/>
              </w:rPr>
              <w:t>p</w:t>
            </w:r>
            <w:r>
              <w:rPr>
                <w:rFonts w:cs="Cambria" w:ascii="Cambria" w:hAnsi="Cambria"/>
                <w:sz w:val="22"/>
                <w:szCs w:val="22"/>
              </w:rPr>
              <w:t>ay</w:t>
            </w:r>
            <w:r>
              <w:rPr>
                <w:rFonts w:cs="Cambria" w:ascii="Cambria" w:hAnsi="Cambria"/>
                <w:spacing w:val="-3"/>
                <w:sz w:val="22"/>
                <w:szCs w:val="22"/>
              </w:rPr>
              <w:t>m</w:t>
            </w:r>
            <w:r>
              <w:rPr>
                <w:rFonts w:cs="Cambria" w:ascii="Cambria" w:hAnsi="Cambria"/>
                <w:sz w:val="22"/>
                <w:szCs w:val="22"/>
              </w:rPr>
              <w:t>ent</w:t>
            </w:r>
          </w:p>
        </w:tc>
      </w:tr>
      <w:tr>
        <w:trPr/>
        <w:tc>
          <w:tcPr>
            <w:tcW w:w="4257" w:type="dxa"/>
            <w:tcBorders/>
            <w:shd w:color="auto" w:fill="auto" w:val="clear"/>
          </w:tcPr>
          <w:p>
            <w:pPr>
              <w:pStyle w:val="Normal"/>
              <w:spacing w:before="0" w:after="200"/>
              <w:jc w:val="both"/>
              <w:rPr/>
            </w:pPr>
            <w:r>
              <w:rPr>
                <w:rFonts w:cs="Cambria" w:ascii="Cambria" w:hAnsi="Cambria"/>
                <w:b/>
                <w:color w:val="000000"/>
                <w:sz w:val="22"/>
                <w:szCs w:val="22"/>
              </w:rPr>
              <w:t>22.  Time of payment period:</w:t>
            </w:r>
          </w:p>
        </w:tc>
        <w:tc>
          <w:tcPr>
            <w:tcW w:w="5377" w:type="dxa"/>
            <w:tcBorders/>
            <w:shd w:color="auto" w:fill="auto" w:val="clear"/>
          </w:tcPr>
          <w:p>
            <w:pPr>
              <w:pStyle w:val="Normal"/>
              <w:widowControl w:val="false"/>
              <w:spacing w:before="0" w:after="200"/>
              <w:ind w:hanging="2160" w:start="2160"/>
              <w:jc w:val="both"/>
              <w:rPr/>
            </w:pPr>
            <w:r>
              <w:rPr>
                <w:rFonts w:cs="Cambria" w:ascii="Cambria" w:hAnsi="Cambria"/>
                <w:color w:val="000000"/>
                <w:sz w:val="22"/>
                <w:szCs w:val="22"/>
              </w:rPr>
              <w:t>Up to 30 days</w:t>
            </w:r>
          </w:p>
        </w:tc>
      </w:tr>
      <w:tr>
        <w:trPr/>
        <w:tc>
          <w:tcPr>
            <w:tcW w:w="4257" w:type="dxa"/>
            <w:tcBorders/>
            <w:shd w:color="auto" w:fill="auto" w:val="clear"/>
          </w:tcPr>
          <w:p>
            <w:pPr>
              <w:pStyle w:val="Normal"/>
              <w:spacing w:before="0" w:after="200"/>
              <w:jc w:val="both"/>
              <w:rPr/>
            </w:pPr>
            <w:r>
              <w:rPr>
                <w:rFonts w:cs="Cambria" w:ascii="Cambria" w:hAnsi="Cambria"/>
                <w:b/>
                <w:color w:val="000000"/>
                <w:sz w:val="22"/>
                <w:szCs w:val="22"/>
              </w:rPr>
              <w:t>23.  Publication of results:</w:t>
            </w:r>
          </w:p>
        </w:tc>
        <w:tc>
          <w:tcPr>
            <w:tcW w:w="5377" w:type="dxa"/>
            <w:tcBorders/>
            <w:shd w:color="auto" w:fill="auto" w:val="clear"/>
          </w:tcPr>
          <w:p>
            <w:pPr>
              <w:pStyle w:val="Normal"/>
              <w:widowControl w:val="false"/>
              <w:spacing w:before="0" w:after="200"/>
              <w:ind w:hanging="2160" w:start="2160"/>
              <w:jc w:val="both"/>
              <w:rPr/>
            </w:pPr>
            <w:r>
              <w:rPr>
                <w:rFonts w:cs="Cambria" w:ascii="Cambria" w:hAnsi="Cambria"/>
                <w:color w:val="000000"/>
                <w:sz w:val="22"/>
                <w:szCs w:val="22"/>
              </w:rPr>
              <w:t>N/A</w:t>
            </w:r>
          </w:p>
        </w:tc>
      </w:tr>
      <w:tr>
        <w:trPr/>
        <w:tc>
          <w:tcPr>
            <w:tcW w:w="4257" w:type="dxa"/>
            <w:tcBorders/>
            <w:shd w:color="auto" w:fill="auto" w:val="clear"/>
          </w:tcPr>
          <w:p>
            <w:pPr>
              <w:pStyle w:val="Normal"/>
              <w:widowControl w:val="false"/>
              <w:spacing w:before="0" w:after="200"/>
              <w:ind w:hanging="2160" w:start="2160"/>
              <w:jc w:val="both"/>
              <w:rPr/>
            </w:pPr>
            <w:r>
              <w:rPr>
                <w:rFonts w:cs="Cambria" w:ascii="Cambria" w:hAnsi="Cambria"/>
                <w:b/>
                <w:color w:val="000000"/>
                <w:sz w:val="22"/>
                <w:szCs w:val="22"/>
              </w:rPr>
              <w:t>24.  Categories of Investors:</w:t>
            </w:r>
          </w:p>
        </w:tc>
        <w:tc>
          <w:tcPr>
            <w:tcW w:w="5377" w:type="dxa"/>
            <w:tcBorders/>
            <w:shd w:color="auto" w:fill="auto" w:val="clear"/>
          </w:tcPr>
          <w:p>
            <w:pPr>
              <w:pStyle w:val="Normal"/>
              <w:widowControl w:val="false"/>
              <w:spacing w:before="0" w:after="200"/>
              <w:ind w:hanging="2160" w:start="2160"/>
              <w:jc w:val="both"/>
              <w:rPr/>
            </w:pPr>
            <w:r>
              <w:rPr>
                <w:rFonts w:cs="Cambria" w:ascii="Cambria" w:hAnsi="Cambria"/>
                <w:color w:val="000000"/>
                <w:sz w:val="22"/>
                <w:szCs w:val="22"/>
              </w:rPr>
              <w:t>MiFID - Professionals and Counterparties</w:t>
            </w:r>
          </w:p>
        </w:tc>
      </w:tr>
      <w:tr>
        <w:trPr/>
        <w:tc>
          <w:tcPr>
            <w:tcW w:w="4257" w:type="dxa"/>
            <w:tcBorders/>
            <w:shd w:color="auto" w:fill="auto" w:val="clear"/>
          </w:tcPr>
          <w:p>
            <w:pPr>
              <w:pStyle w:val="Normal"/>
              <w:widowControl w:val="false"/>
              <w:spacing w:before="0" w:after="200"/>
              <w:ind w:hanging="2160" w:start="2160"/>
              <w:jc w:val="both"/>
              <w:rPr/>
            </w:pPr>
            <w:r>
              <w:rPr>
                <w:rFonts w:cs="Cambria" w:ascii="Cambria" w:hAnsi="Cambria"/>
                <w:b/>
                <w:color w:val="000000"/>
                <w:sz w:val="22"/>
                <w:szCs w:val="22"/>
              </w:rPr>
              <w:t>25.  Coordinator of the Offer:</w:t>
            </w:r>
          </w:p>
        </w:tc>
        <w:tc>
          <w:tcPr>
            <w:tcW w:w="5377" w:type="dxa"/>
            <w:tcBorders/>
            <w:shd w:color="auto" w:fill="auto" w:val="clear"/>
          </w:tcPr>
          <w:p>
            <w:pPr>
              <w:pStyle w:val="Normal"/>
              <w:widowControl w:val="false"/>
              <w:spacing w:before="0" w:after="200"/>
              <w:ind w:firstLine="5" w:start="-5"/>
              <w:jc w:val="both"/>
              <w:rPr>
                <w:lang w:val="es-ES"/>
              </w:rPr>
            </w:pPr>
            <w:r>
              <w:rPr>
                <w:rFonts w:cs="Cambria" w:ascii="Cambria" w:hAnsi="Cambria"/>
                <w:color w:val="000000"/>
                <w:sz w:val="22"/>
                <w:szCs w:val="22"/>
                <w:lang w:val="es-ES"/>
              </w:rPr>
              <w:t>THE GARCI CRESPO ALATORRE TRUST</w:t>
            </w:r>
          </w:p>
        </w:tc>
      </w:tr>
      <w:tr>
        <w:trPr/>
        <w:tc>
          <w:tcPr>
            <w:tcW w:w="4257" w:type="dxa"/>
            <w:tcBorders/>
            <w:shd w:color="auto" w:fill="auto" w:val="clear"/>
          </w:tcPr>
          <w:p>
            <w:pPr>
              <w:pStyle w:val="Normal"/>
              <w:widowControl w:val="false"/>
              <w:spacing w:before="0" w:after="200"/>
              <w:ind w:hanging="2160" w:start="2160"/>
              <w:jc w:val="both"/>
              <w:rPr/>
            </w:pPr>
            <w:r>
              <w:rPr>
                <w:rFonts w:cs="Cambria" w:ascii="Cambria" w:hAnsi="Cambria"/>
                <w:b/>
                <w:color w:val="000000"/>
                <w:sz w:val="22"/>
                <w:szCs w:val="22"/>
              </w:rPr>
              <w:t>26.  Registrar:</w:t>
            </w:r>
          </w:p>
        </w:tc>
        <w:tc>
          <w:tcPr>
            <w:tcW w:w="5377" w:type="dxa"/>
            <w:tcBorders/>
            <w:shd w:color="auto" w:fill="auto" w:val="clear"/>
          </w:tcPr>
          <w:p>
            <w:pPr>
              <w:pStyle w:val="Normal"/>
              <w:widowControl w:val="false"/>
              <w:spacing w:before="0" w:after="200"/>
              <w:ind w:firstLine="5" w:start="-5"/>
              <w:jc w:val="both"/>
              <w:rPr/>
            </w:pPr>
            <w:r>
              <w:rPr>
                <w:rFonts w:cs="Cambria" w:ascii="Cambria" w:hAnsi="Cambria"/>
                <w:color w:val="000000"/>
                <w:sz w:val="22"/>
                <w:szCs w:val="22"/>
              </w:rPr>
              <w:t>Integral Transfer Agency</w:t>
            </w:r>
          </w:p>
        </w:tc>
      </w:tr>
      <w:tr>
        <w:trPr/>
        <w:tc>
          <w:tcPr>
            <w:tcW w:w="4257" w:type="dxa"/>
            <w:tcBorders/>
            <w:shd w:color="auto" w:fill="auto" w:val="clear"/>
          </w:tcPr>
          <w:p>
            <w:pPr>
              <w:pStyle w:val="Normal"/>
              <w:widowControl w:val="false"/>
              <w:spacing w:before="0" w:after="200"/>
              <w:ind w:hanging="2160" w:start="2160"/>
              <w:jc w:val="both"/>
              <w:rPr/>
            </w:pPr>
            <w:r>
              <w:rPr>
                <w:rFonts w:cs="Cambria" w:ascii="Cambria" w:hAnsi="Cambria"/>
                <w:b/>
                <w:color w:val="000000"/>
                <w:sz w:val="22"/>
                <w:szCs w:val="22"/>
              </w:rPr>
              <w:t>27.  Underlying collateral rating:</w:t>
            </w:r>
          </w:p>
        </w:tc>
        <w:tc>
          <w:tcPr>
            <w:tcW w:w="5377" w:type="dxa"/>
            <w:tcBorders/>
            <w:shd w:color="auto" w:fill="auto" w:val="clear"/>
          </w:tcPr>
          <w:p>
            <w:pPr>
              <w:pStyle w:val="Normal"/>
              <w:widowControl w:val="false"/>
              <w:spacing w:before="0" w:after="200"/>
              <w:ind w:firstLine="5" w:start="-5"/>
              <w:jc w:val="both"/>
              <w:rPr/>
            </w:pPr>
            <w:r>
              <w:rPr>
                <w:rFonts w:cs="Cambria" w:ascii="Cambria" w:hAnsi="Cambria"/>
                <w:sz w:val="22"/>
                <w:szCs w:val="22"/>
              </w:rPr>
              <w:t>Aaa</w:t>
            </w:r>
          </w:p>
        </w:tc>
      </w:tr>
      <w:tr>
        <w:trPr>
          <w:trHeight w:val="337" w:hRule="atLeast"/>
        </w:trPr>
        <w:tc>
          <w:tcPr>
            <w:tcW w:w="4257" w:type="dxa"/>
            <w:tcBorders/>
            <w:shd w:color="auto" w:fill="auto" w:val="clear"/>
          </w:tcPr>
          <w:p>
            <w:pPr>
              <w:pStyle w:val="Normal"/>
              <w:widowControl w:val="false"/>
              <w:spacing w:before="0" w:after="200"/>
              <w:ind w:hanging="2160" w:start="2160"/>
              <w:jc w:val="both"/>
              <w:rPr/>
            </w:pPr>
            <w:r>
              <w:rPr>
                <w:rFonts w:cs="Cambria" w:ascii="Cambria" w:hAnsi="Cambria"/>
                <w:b/>
                <w:color w:val="000000"/>
                <w:sz w:val="22"/>
                <w:szCs w:val="22"/>
              </w:rPr>
              <w:t>28.  Issue Date:</w:t>
            </w:r>
          </w:p>
        </w:tc>
        <w:tc>
          <w:tcPr>
            <w:tcW w:w="5377" w:type="dxa"/>
            <w:tcBorders/>
            <w:shd w:color="auto" w:fill="auto" w:val="clear"/>
          </w:tcPr>
          <w:p>
            <w:pPr>
              <w:pStyle w:val="Normal"/>
              <w:widowControl w:val="false"/>
              <w:spacing w:before="0" w:after="200"/>
              <w:jc w:val="both"/>
              <w:rPr>
                <w:b/>
              </w:rPr>
            </w:pPr>
            <w:r>
              <w:rPr>
                <w:rFonts w:cs="Cambria" w:ascii="Cambria" w:hAnsi="Cambria"/>
                <w:b/>
                <w:color w:val="000000"/>
                <w:sz w:val="22"/>
                <w:szCs w:val="22"/>
              </w:rPr>
              <w:t>6 October 2025</w:t>
            </w:r>
          </w:p>
        </w:tc>
      </w:tr>
      <w:tr>
        <w:trPr/>
        <w:tc>
          <w:tcPr>
            <w:tcW w:w="4257" w:type="dxa"/>
            <w:tcBorders/>
            <w:shd w:color="auto" w:fill="auto" w:val="clear"/>
          </w:tcPr>
          <w:p>
            <w:pPr>
              <w:pStyle w:val="Normal"/>
              <w:widowControl w:val="false"/>
              <w:spacing w:before="0" w:after="200"/>
              <w:ind w:hanging="2160" w:start="2160"/>
              <w:jc w:val="both"/>
              <w:rPr/>
            </w:pPr>
            <w:r>
              <w:rPr>
                <w:rFonts w:cs="Cambria" w:ascii="Cambria" w:hAnsi="Cambria"/>
                <w:b/>
                <w:color w:val="000000"/>
                <w:sz w:val="22"/>
                <w:szCs w:val="22"/>
              </w:rPr>
              <w:t>29.  Final Valuation Date:</w:t>
            </w:r>
          </w:p>
        </w:tc>
        <w:tc>
          <w:tcPr>
            <w:tcW w:w="5377" w:type="dxa"/>
            <w:tcBorders/>
            <w:shd w:color="auto" w:fill="auto" w:val="clear"/>
          </w:tcPr>
          <w:p>
            <w:pPr>
              <w:pStyle w:val="Normal"/>
              <w:widowControl w:val="false"/>
              <w:spacing w:before="0" w:after="200"/>
              <w:ind w:firstLine="5" w:start="-5"/>
              <w:jc w:val="both"/>
              <w:rPr/>
            </w:pPr>
            <w:r>
              <w:rPr>
                <w:rFonts w:cs="Cambria" w:ascii="Cambria" w:hAnsi="Cambria"/>
                <w:color w:val="000000"/>
                <w:sz w:val="22"/>
                <w:szCs w:val="22"/>
              </w:rPr>
              <w:t>6 October 2025</w:t>
            </w:r>
          </w:p>
        </w:tc>
      </w:tr>
      <w:tr>
        <w:trPr/>
        <w:tc>
          <w:tcPr>
            <w:tcW w:w="4257" w:type="dxa"/>
            <w:tcBorders/>
            <w:shd w:color="auto" w:fill="auto" w:val="clear"/>
          </w:tcPr>
          <w:p>
            <w:pPr>
              <w:pStyle w:val="Normal"/>
              <w:widowControl w:val="false"/>
              <w:spacing w:before="0" w:after="200"/>
              <w:ind w:hanging="2160" w:start="2160"/>
              <w:jc w:val="both"/>
              <w:rPr/>
            </w:pPr>
            <w:r>
              <w:rPr>
                <w:rFonts w:cs="Cambria" w:ascii="Cambria" w:hAnsi="Cambria"/>
                <w:b/>
                <w:color w:val="000000"/>
                <w:sz w:val="22"/>
                <w:szCs w:val="22"/>
              </w:rPr>
              <w:t>30.  Maturity Date:</w:t>
            </w:r>
          </w:p>
        </w:tc>
        <w:tc>
          <w:tcPr>
            <w:tcW w:w="5377" w:type="dxa"/>
            <w:tcBorders/>
            <w:shd w:color="auto" w:fill="auto" w:val="clear"/>
          </w:tcPr>
          <w:p>
            <w:pPr>
              <w:pStyle w:val="Normal"/>
              <w:widowControl w:val="false"/>
              <w:spacing w:before="0" w:after="200"/>
              <w:ind w:firstLine="5" w:start="-5"/>
              <w:jc w:val="both"/>
              <w:rPr/>
            </w:pPr>
            <w:r>
              <w:rPr>
                <w:rFonts w:cs="Cambria" w:ascii="Cambria" w:hAnsi="Cambria"/>
                <w:color w:val="000000"/>
                <w:sz w:val="22"/>
                <w:szCs w:val="22"/>
              </w:rPr>
              <w:t>As per the underlying security</w:t>
            </w:r>
          </w:p>
        </w:tc>
      </w:tr>
      <w:tr>
        <w:trPr/>
        <w:tc>
          <w:tcPr>
            <w:tcW w:w="4257" w:type="dxa"/>
            <w:tcBorders/>
            <w:shd w:color="auto" w:fill="auto" w:val="clear"/>
          </w:tcPr>
          <w:p>
            <w:pPr>
              <w:pStyle w:val="Normal"/>
              <w:widowControl w:val="false"/>
              <w:spacing w:before="0" w:after="200"/>
              <w:ind w:hanging="2160" w:start="2160"/>
              <w:jc w:val="both"/>
              <w:rPr/>
            </w:pPr>
            <w:r>
              <w:rPr>
                <w:rFonts w:cs="Cambria" w:ascii="Cambria" w:hAnsi="Cambria"/>
                <w:b/>
                <w:color w:val="000000"/>
                <w:sz w:val="22"/>
                <w:szCs w:val="22"/>
              </w:rPr>
              <w:t>31.  Redemption Amount:</w:t>
            </w:r>
          </w:p>
        </w:tc>
        <w:tc>
          <w:tcPr>
            <w:tcW w:w="5377" w:type="dxa"/>
            <w:tcBorders/>
            <w:shd w:color="auto" w:fill="auto" w:val="clear"/>
          </w:tcPr>
          <w:p>
            <w:pPr>
              <w:pStyle w:val="Normal"/>
              <w:widowControl w:val="false"/>
              <w:ind w:firstLine="4" w:start="-4"/>
              <w:jc w:val="both"/>
              <w:rPr/>
            </w:pPr>
            <w:r>
              <w:rPr>
                <w:rFonts w:cs="Cambria" w:ascii="Cambria" w:hAnsi="Cambria"/>
                <w:color w:val="000000"/>
                <w:sz w:val="22"/>
                <w:szCs w:val="22"/>
              </w:rPr>
              <w:t xml:space="preserve">100% of face value </w:t>
            </w:r>
            <w:r>
              <w:rPr>
                <w:rFonts w:cs="Cambria" w:ascii="Cambria" w:hAnsi="Cambria"/>
                <w:color w:val="000000"/>
                <w:sz w:val="22"/>
                <w:szCs w:val="22"/>
                <w:lang w:val="fr-FR"/>
              </w:rPr>
              <w:t>paid cash by the owner of the Company  or via the transfer of the Underlying Bonds to claimant as decided by the Company (Grey) and its owner.</w:t>
            </w:r>
          </w:p>
          <w:p>
            <w:pPr>
              <w:pStyle w:val="Normal"/>
              <w:widowControl w:val="false"/>
              <w:spacing w:before="0" w:after="200"/>
              <w:ind w:hanging="2160" w:start="2160"/>
              <w:jc w:val="both"/>
              <w:rPr>
                <w:rFonts w:ascii="Cambria" w:hAnsi="Cambria" w:cs="Cambria"/>
                <w:i/>
                <w:i/>
                <w:iCs/>
                <w:color w:val="000000"/>
                <w:sz w:val="22"/>
                <w:szCs w:val="22"/>
              </w:rPr>
            </w:pPr>
            <w:r>
              <w:rPr>
                <w:rFonts w:cs="Cambria" w:ascii="Cambria" w:hAnsi="Cambria"/>
                <w:i/>
                <w:iCs/>
                <w:color w:val="000000"/>
                <w:sz w:val="22"/>
                <w:szCs w:val="22"/>
              </w:rPr>
            </w:r>
          </w:p>
        </w:tc>
      </w:tr>
      <w:tr>
        <w:trPr/>
        <w:tc>
          <w:tcPr>
            <w:tcW w:w="4257" w:type="dxa"/>
            <w:tcBorders/>
            <w:shd w:color="auto" w:fill="auto" w:val="clear"/>
          </w:tcPr>
          <w:p>
            <w:pPr>
              <w:pStyle w:val="Normal"/>
              <w:widowControl w:val="false"/>
              <w:spacing w:before="0" w:after="200"/>
              <w:ind w:hanging="2160" w:start="2160"/>
              <w:jc w:val="both"/>
              <w:rPr/>
            </w:pPr>
            <w:r>
              <w:rPr>
                <w:rFonts w:cs="Cambria" w:ascii="Cambria" w:hAnsi="Cambria"/>
                <w:b/>
                <w:color w:val="000000"/>
                <w:sz w:val="22"/>
                <w:szCs w:val="22"/>
              </w:rPr>
              <w:t>32.  Day Count Convention:</w:t>
            </w:r>
          </w:p>
        </w:tc>
        <w:tc>
          <w:tcPr>
            <w:tcW w:w="5377" w:type="dxa"/>
            <w:tcBorders/>
            <w:shd w:color="auto" w:fill="auto" w:val="clear"/>
          </w:tcPr>
          <w:p>
            <w:pPr>
              <w:pStyle w:val="Normal"/>
              <w:widowControl w:val="false"/>
              <w:spacing w:before="0" w:after="200"/>
              <w:ind w:start="-5"/>
              <w:jc w:val="both"/>
              <w:rPr/>
            </w:pPr>
            <w:r>
              <w:rPr>
                <w:rFonts w:cs="Cambria" w:ascii="Cambria" w:hAnsi="Cambria"/>
                <w:color w:val="000000"/>
                <w:sz w:val="22"/>
                <w:szCs w:val="22"/>
              </w:rPr>
              <w:t>Actual/Actual, Actual/365 (Fixed), Actual/360, 30/360, 360/360, Bond Basis 30E/360, Eurobond Basis, 30E/360 (ISDA), Actual/Actual – ICMA</w:t>
            </w:r>
          </w:p>
        </w:tc>
      </w:tr>
      <w:tr>
        <w:trPr/>
        <w:tc>
          <w:tcPr>
            <w:tcW w:w="4257" w:type="dxa"/>
            <w:tcBorders/>
            <w:shd w:color="auto" w:fill="auto" w:val="clear"/>
          </w:tcPr>
          <w:p>
            <w:pPr>
              <w:pStyle w:val="Normal"/>
              <w:widowControl w:val="false"/>
              <w:spacing w:before="0" w:after="200"/>
              <w:ind w:hanging="2160" w:start="2160"/>
              <w:jc w:val="both"/>
              <w:rPr/>
            </w:pPr>
            <w:r>
              <w:rPr>
                <w:rFonts w:cs="Cambria" w:ascii="Cambria" w:hAnsi="Cambria"/>
                <w:b/>
                <w:color w:val="000000"/>
                <w:sz w:val="22"/>
                <w:szCs w:val="22"/>
              </w:rPr>
              <w:t>33.  Record Date Rule:</w:t>
            </w:r>
          </w:p>
        </w:tc>
        <w:tc>
          <w:tcPr>
            <w:tcW w:w="5377" w:type="dxa"/>
            <w:tcBorders/>
            <w:shd w:color="auto" w:fill="auto" w:val="clear"/>
          </w:tcPr>
          <w:p>
            <w:pPr>
              <w:pStyle w:val="Normal"/>
              <w:widowControl w:val="false"/>
              <w:spacing w:before="0" w:after="200"/>
              <w:ind w:start="-5"/>
              <w:jc w:val="both"/>
              <w:rPr/>
            </w:pPr>
            <w:r>
              <w:rPr>
                <w:rFonts w:cs="Cambria" w:ascii="Cambria" w:hAnsi="Cambria"/>
                <w:color w:val="000000"/>
                <w:sz w:val="22"/>
                <w:szCs w:val="22"/>
              </w:rPr>
              <w:t>Payment Date minus one Business Day</w:t>
            </w:r>
          </w:p>
        </w:tc>
      </w:tr>
      <w:tr>
        <w:trPr/>
        <w:tc>
          <w:tcPr>
            <w:tcW w:w="4257" w:type="dxa"/>
            <w:tcBorders/>
            <w:shd w:color="auto" w:fill="auto" w:val="clear"/>
          </w:tcPr>
          <w:p>
            <w:pPr>
              <w:pStyle w:val="Normal"/>
              <w:widowControl w:val="false"/>
              <w:spacing w:before="0" w:after="200"/>
              <w:ind w:hanging="2160" w:start="2160"/>
              <w:jc w:val="both"/>
              <w:rPr/>
            </w:pPr>
            <w:r>
              <w:rPr>
                <w:rFonts w:cs="Cambria" w:ascii="Cambria" w:hAnsi="Cambria"/>
                <w:b/>
                <w:color w:val="000000"/>
                <w:sz w:val="22"/>
                <w:szCs w:val="22"/>
              </w:rPr>
              <w:t>34.  Minimum Notice Day Count:</w:t>
            </w:r>
          </w:p>
        </w:tc>
        <w:tc>
          <w:tcPr>
            <w:tcW w:w="5377" w:type="dxa"/>
            <w:tcBorders/>
            <w:shd w:color="auto" w:fill="auto" w:val="clear"/>
          </w:tcPr>
          <w:p>
            <w:pPr>
              <w:pStyle w:val="Normal"/>
              <w:widowControl w:val="false"/>
              <w:spacing w:before="0" w:after="200"/>
              <w:ind w:start="-5"/>
              <w:jc w:val="both"/>
              <w:rPr/>
            </w:pPr>
            <w:r>
              <w:rPr>
                <w:rFonts w:cs="Cambria" w:ascii="Cambria" w:hAnsi="Cambria"/>
                <w:color w:val="000000"/>
                <w:sz w:val="22"/>
                <w:szCs w:val="22"/>
              </w:rPr>
              <w:t>1 (One) day</w:t>
            </w:r>
          </w:p>
        </w:tc>
      </w:tr>
      <w:tr>
        <w:trPr/>
        <w:tc>
          <w:tcPr>
            <w:tcW w:w="4257" w:type="dxa"/>
            <w:tcBorders/>
            <w:shd w:color="auto" w:fill="auto" w:val="clear"/>
          </w:tcPr>
          <w:p>
            <w:pPr>
              <w:pStyle w:val="Normal"/>
              <w:widowControl w:val="false"/>
              <w:spacing w:before="0" w:after="200"/>
              <w:ind w:hanging="2160" w:start="2160"/>
              <w:jc w:val="both"/>
              <w:rPr/>
            </w:pPr>
            <w:r>
              <w:rPr>
                <w:rFonts w:cs="Cambria" w:ascii="Cambria" w:hAnsi="Cambria"/>
                <w:b/>
                <w:color w:val="000000"/>
                <w:sz w:val="22"/>
                <w:szCs w:val="22"/>
              </w:rPr>
              <w:t>35.  Notice Day Type:</w:t>
            </w:r>
          </w:p>
        </w:tc>
        <w:tc>
          <w:tcPr>
            <w:tcW w:w="5377" w:type="dxa"/>
            <w:tcBorders/>
            <w:shd w:color="auto" w:fill="auto" w:val="clear"/>
          </w:tcPr>
          <w:p>
            <w:pPr>
              <w:pStyle w:val="Normal"/>
              <w:widowControl w:val="false"/>
              <w:spacing w:before="0" w:after="200"/>
              <w:ind w:start="-5"/>
              <w:jc w:val="both"/>
              <w:rPr/>
            </w:pPr>
            <w:r>
              <w:rPr>
                <w:rFonts w:cs="Cambria" w:ascii="Cambria" w:hAnsi="Cambria"/>
                <w:color w:val="000000"/>
                <w:sz w:val="22"/>
                <w:szCs w:val="22"/>
              </w:rPr>
              <w:t>On Calendar days only</w:t>
            </w:r>
          </w:p>
        </w:tc>
      </w:tr>
      <w:tr>
        <w:trPr/>
        <w:tc>
          <w:tcPr>
            <w:tcW w:w="4257" w:type="dxa"/>
            <w:tcBorders/>
            <w:shd w:color="auto" w:fill="auto" w:val="clear"/>
          </w:tcPr>
          <w:p>
            <w:pPr>
              <w:pStyle w:val="Normal"/>
              <w:widowControl w:val="false"/>
              <w:spacing w:before="0" w:after="200"/>
              <w:ind w:hanging="2160" w:start="2160"/>
              <w:jc w:val="both"/>
              <w:rPr/>
            </w:pPr>
            <w:r>
              <w:rPr>
                <w:rFonts w:cs="Cambria" w:ascii="Cambria" w:hAnsi="Cambria"/>
                <w:b/>
                <w:color w:val="000000"/>
                <w:sz w:val="22"/>
                <w:szCs w:val="22"/>
              </w:rPr>
              <w:t>36.  Interest Basis:</w:t>
            </w:r>
          </w:p>
        </w:tc>
        <w:tc>
          <w:tcPr>
            <w:tcW w:w="5377" w:type="dxa"/>
            <w:tcBorders/>
            <w:shd w:color="auto" w:fill="auto" w:val="clear"/>
          </w:tcPr>
          <w:p>
            <w:pPr>
              <w:pStyle w:val="Normal"/>
              <w:widowControl w:val="false"/>
              <w:spacing w:before="0" w:after="200"/>
              <w:jc w:val="both"/>
              <w:rPr/>
            </w:pPr>
            <w:r>
              <w:rPr>
                <w:rFonts w:cs="Cambria" w:ascii="Cambria" w:hAnsi="Cambria"/>
                <w:color w:val="000000"/>
                <w:sz w:val="22"/>
                <w:szCs w:val="22"/>
              </w:rPr>
              <w:t>Zero Coupon, Repayment done instantly in Bonds and within 3 working days in Cash</w:t>
            </w:r>
          </w:p>
        </w:tc>
      </w:tr>
      <w:tr>
        <w:trPr/>
        <w:tc>
          <w:tcPr>
            <w:tcW w:w="4257" w:type="dxa"/>
            <w:tcBorders/>
            <w:shd w:color="auto" w:fill="auto" w:val="clear"/>
          </w:tcPr>
          <w:p>
            <w:pPr>
              <w:pStyle w:val="Normal"/>
              <w:widowControl w:val="false"/>
              <w:spacing w:before="0" w:after="200"/>
              <w:ind w:hanging="2160" w:start="2160"/>
              <w:jc w:val="both"/>
              <w:rPr/>
            </w:pPr>
            <w:r>
              <w:rPr>
                <w:rFonts w:cs="Cambria" w:ascii="Cambria" w:hAnsi="Cambria"/>
                <w:b/>
                <w:color w:val="000000"/>
                <w:sz w:val="22"/>
                <w:szCs w:val="22"/>
              </w:rPr>
              <w:t>37.  Listing and admission to trading:</w:t>
            </w:r>
          </w:p>
        </w:tc>
        <w:tc>
          <w:tcPr>
            <w:tcW w:w="5377" w:type="dxa"/>
            <w:tcBorders/>
            <w:shd w:color="auto" w:fill="auto" w:val="clear"/>
          </w:tcPr>
          <w:p>
            <w:pPr>
              <w:pStyle w:val="Normal"/>
              <w:widowControl w:val="false"/>
              <w:spacing w:before="0" w:after="200"/>
              <w:jc w:val="both"/>
              <w:rPr/>
            </w:pPr>
            <w:r>
              <w:rPr>
                <w:rFonts w:cs="Cambria" w:ascii="Cambria" w:hAnsi="Cambria"/>
                <w:color w:val="000000"/>
                <w:sz w:val="22"/>
                <w:szCs w:val="22"/>
              </w:rPr>
              <w:t>N/A</w:t>
            </w:r>
          </w:p>
        </w:tc>
      </w:tr>
      <w:tr>
        <w:trPr/>
        <w:tc>
          <w:tcPr>
            <w:tcW w:w="4257" w:type="dxa"/>
            <w:tcBorders/>
            <w:shd w:color="auto" w:fill="auto" w:val="clear"/>
          </w:tcPr>
          <w:p>
            <w:pPr>
              <w:pStyle w:val="Normal"/>
              <w:widowControl w:val="false"/>
              <w:spacing w:before="0" w:after="200"/>
              <w:ind w:hanging="2160" w:start="2160"/>
              <w:jc w:val="both"/>
              <w:rPr/>
            </w:pPr>
            <w:r>
              <w:rPr>
                <w:rFonts w:cs="Cambria" w:ascii="Cambria" w:hAnsi="Cambria"/>
                <w:b/>
                <w:color w:val="000000"/>
                <w:sz w:val="22"/>
                <w:szCs w:val="22"/>
              </w:rPr>
              <w:t>38.  Governing Law:</w:t>
            </w:r>
          </w:p>
        </w:tc>
        <w:tc>
          <w:tcPr>
            <w:tcW w:w="5377" w:type="dxa"/>
            <w:tcBorders/>
            <w:shd w:color="auto" w:fill="auto" w:val="clear"/>
          </w:tcPr>
          <w:p>
            <w:pPr>
              <w:pStyle w:val="Normal"/>
              <w:widowControl w:val="false"/>
              <w:spacing w:before="0" w:after="200"/>
              <w:jc w:val="both"/>
              <w:rPr/>
            </w:pPr>
            <w:r>
              <w:rPr>
                <w:rFonts w:cs="Cambria" w:ascii="Cambria" w:hAnsi="Cambria"/>
                <w:color w:val="000000"/>
                <w:sz w:val="22"/>
                <w:szCs w:val="22"/>
              </w:rPr>
              <w:t>Canadian</w:t>
            </w:r>
          </w:p>
        </w:tc>
      </w:tr>
      <w:tr>
        <w:trPr/>
        <w:tc>
          <w:tcPr>
            <w:tcW w:w="4257" w:type="dxa"/>
            <w:tcBorders/>
            <w:shd w:color="auto" w:fill="auto" w:val="clear"/>
          </w:tcPr>
          <w:p>
            <w:pPr>
              <w:pStyle w:val="Normal"/>
              <w:widowControl w:val="false"/>
              <w:spacing w:before="0" w:after="200"/>
              <w:jc w:val="both"/>
              <w:rPr/>
            </w:pPr>
            <w:r>
              <w:rPr>
                <w:rFonts w:cs="Cambria" w:ascii="Cambria" w:hAnsi="Cambria"/>
                <w:b/>
                <w:color w:val="000000"/>
                <w:sz w:val="22"/>
                <w:szCs w:val="22"/>
              </w:rPr>
              <w:t>39.  Paying Agent:</w:t>
            </w:r>
          </w:p>
        </w:tc>
        <w:tc>
          <w:tcPr>
            <w:tcW w:w="5377" w:type="dxa"/>
            <w:tcBorders/>
            <w:shd w:color="auto" w:fill="auto" w:val="clear"/>
          </w:tcPr>
          <w:p>
            <w:pPr>
              <w:pStyle w:val="Normal"/>
              <w:widowControl w:val="false"/>
              <w:spacing w:before="0" w:after="200"/>
              <w:jc w:val="both"/>
              <w:rPr/>
            </w:pPr>
            <w:r>
              <w:rPr>
                <w:rFonts w:cs="Cambria" w:ascii="Cambria" w:hAnsi="Cambria"/>
                <w:color w:val="000000"/>
                <w:sz w:val="22"/>
                <w:szCs w:val="22"/>
              </w:rPr>
              <w:t>Integral Transfer Agency</w:t>
            </w:r>
          </w:p>
        </w:tc>
      </w:tr>
      <w:tr>
        <w:trPr/>
        <w:tc>
          <w:tcPr>
            <w:tcW w:w="4257" w:type="dxa"/>
            <w:tcBorders/>
            <w:shd w:color="auto" w:fill="auto" w:val="clear"/>
          </w:tcPr>
          <w:p>
            <w:pPr>
              <w:pStyle w:val="Normal"/>
              <w:widowControl w:val="false"/>
              <w:spacing w:before="0" w:after="200"/>
              <w:ind w:hanging="2160" w:start="2160"/>
              <w:jc w:val="both"/>
              <w:rPr/>
            </w:pPr>
            <w:r>
              <w:rPr>
                <w:rFonts w:cs="Cambria" w:ascii="Cambria" w:hAnsi="Cambria"/>
                <w:b/>
                <w:color w:val="000000"/>
                <w:sz w:val="22"/>
                <w:szCs w:val="22"/>
              </w:rPr>
              <w:t>40.  Calculation Agent:</w:t>
            </w:r>
          </w:p>
        </w:tc>
        <w:tc>
          <w:tcPr>
            <w:tcW w:w="5377" w:type="dxa"/>
            <w:tcBorders/>
            <w:shd w:color="auto" w:fill="auto" w:val="clear"/>
          </w:tcPr>
          <w:p>
            <w:pPr>
              <w:pStyle w:val="Normal"/>
              <w:widowControl w:val="false"/>
              <w:spacing w:before="0" w:after="200"/>
              <w:jc w:val="both"/>
              <w:rPr/>
            </w:pPr>
            <w:r>
              <w:rPr>
                <w:rFonts w:cs="Cambria" w:ascii="Cambria" w:hAnsi="Cambria"/>
                <w:color w:val="000000"/>
                <w:sz w:val="22"/>
                <w:szCs w:val="22"/>
              </w:rPr>
              <w:t>Integral Transfer Agency</w:t>
            </w:r>
          </w:p>
        </w:tc>
      </w:tr>
      <w:tr>
        <w:trPr/>
        <w:tc>
          <w:tcPr>
            <w:tcW w:w="4257" w:type="dxa"/>
            <w:tcBorders/>
            <w:shd w:color="auto" w:fill="auto" w:val="clear"/>
          </w:tcPr>
          <w:p>
            <w:pPr>
              <w:pStyle w:val="Normal"/>
              <w:widowControl w:val="false"/>
              <w:spacing w:before="0" w:after="200"/>
              <w:ind w:hanging="2160" w:start="2160"/>
              <w:jc w:val="both"/>
              <w:rPr/>
            </w:pPr>
            <w:r>
              <w:rPr>
                <w:rFonts w:cs="Cambria" w:ascii="Cambria" w:hAnsi="Cambria"/>
                <w:b/>
                <w:color w:val="000000"/>
                <w:sz w:val="22"/>
                <w:szCs w:val="22"/>
              </w:rPr>
              <w:t>41.  Administrator:</w:t>
            </w:r>
          </w:p>
        </w:tc>
        <w:tc>
          <w:tcPr>
            <w:tcW w:w="5377" w:type="dxa"/>
            <w:tcBorders/>
            <w:shd w:color="auto" w:fill="auto" w:val="clear"/>
          </w:tcPr>
          <w:p>
            <w:pPr>
              <w:pStyle w:val="Normal"/>
              <w:widowControl w:val="false"/>
              <w:spacing w:before="0" w:after="200"/>
              <w:jc w:val="both"/>
              <w:rPr/>
            </w:pPr>
            <w:r>
              <w:rPr>
                <w:rFonts w:cs="Cambria" w:ascii="Cambria" w:hAnsi="Cambria"/>
                <w:color w:val="000000"/>
                <w:sz w:val="22"/>
                <w:szCs w:val="22"/>
              </w:rPr>
              <w:t>Integral Transfer Agency</w:t>
            </w:r>
          </w:p>
        </w:tc>
      </w:tr>
      <w:tr>
        <w:trPr/>
        <w:tc>
          <w:tcPr>
            <w:tcW w:w="4257" w:type="dxa"/>
            <w:tcBorders/>
            <w:shd w:color="auto" w:fill="auto" w:val="clear"/>
          </w:tcPr>
          <w:p>
            <w:pPr>
              <w:pStyle w:val="Normal"/>
              <w:widowControl w:val="false"/>
              <w:spacing w:before="0" w:after="200"/>
              <w:ind w:hanging="2160" w:start="2160"/>
              <w:jc w:val="both"/>
              <w:rPr/>
            </w:pPr>
            <w:r>
              <w:rPr>
                <w:rFonts w:cs="Cambria" w:ascii="Cambria" w:hAnsi="Cambria"/>
                <w:b/>
                <w:color w:val="000000"/>
                <w:sz w:val="22"/>
                <w:szCs w:val="22"/>
              </w:rPr>
              <w:t>42.  Clearing and Settlement:</w:t>
            </w:r>
          </w:p>
        </w:tc>
        <w:tc>
          <w:tcPr>
            <w:tcW w:w="5377" w:type="dxa"/>
            <w:tcBorders/>
            <w:shd w:color="auto" w:fill="auto" w:val="clear"/>
          </w:tcPr>
          <w:p>
            <w:pPr>
              <w:pStyle w:val="Normal"/>
              <w:widowControl w:val="false"/>
              <w:spacing w:before="0" w:after="200"/>
              <w:jc w:val="both"/>
              <w:rPr/>
            </w:pPr>
            <w:r>
              <w:rPr>
                <w:rFonts w:cs="Cambria" w:ascii="Cambria" w:hAnsi="Cambria"/>
                <w:color w:val="000000"/>
                <w:sz w:val="22"/>
                <w:szCs w:val="22"/>
              </w:rPr>
              <w:t>TMX-CDS</w:t>
            </w:r>
          </w:p>
        </w:tc>
      </w:tr>
      <w:tr>
        <w:trPr/>
        <w:tc>
          <w:tcPr>
            <w:tcW w:w="4257" w:type="dxa"/>
            <w:tcBorders/>
            <w:shd w:color="auto" w:fill="auto" w:val="clear"/>
          </w:tcPr>
          <w:p>
            <w:pPr>
              <w:pStyle w:val="Normal"/>
              <w:widowControl w:val="false"/>
              <w:spacing w:before="0" w:after="200"/>
              <w:ind w:hanging="2160" w:start="2160"/>
              <w:jc w:val="both"/>
              <w:rPr/>
            </w:pPr>
            <w:r>
              <w:rPr>
                <w:rFonts w:cs="Cambria" w:ascii="Cambria" w:hAnsi="Cambria"/>
                <w:b/>
                <w:color w:val="000000"/>
                <w:sz w:val="22"/>
                <w:szCs w:val="22"/>
              </w:rPr>
              <w:t>43.  Financial Centre for Payments:</w:t>
            </w:r>
          </w:p>
        </w:tc>
        <w:tc>
          <w:tcPr>
            <w:tcW w:w="5377" w:type="dxa"/>
            <w:tcBorders/>
            <w:shd w:color="auto" w:fill="auto" w:val="clear"/>
          </w:tcPr>
          <w:p>
            <w:pPr>
              <w:pStyle w:val="Normal"/>
              <w:widowControl w:val="false"/>
              <w:spacing w:before="0" w:after="200"/>
              <w:jc w:val="both"/>
              <w:rPr/>
            </w:pPr>
            <w:r>
              <w:rPr>
                <w:rFonts w:cs="Cambria" w:ascii="Cambria" w:hAnsi="Cambria"/>
                <w:color w:val="000000"/>
                <w:sz w:val="22"/>
                <w:szCs w:val="22"/>
              </w:rPr>
              <w:t>Canada – TMX-CDS</w:t>
            </w:r>
          </w:p>
        </w:tc>
      </w:tr>
      <w:tr>
        <w:trPr/>
        <w:tc>
          <w:tcPr>
            <w:tcW w:w="4257" w:type="dxa"/>
            <w:tcBorders/>
            <w:shd w:color="auto" w:fill="auto" w:val="clear"/>
          </w:tcPr>
          <w:p>
            <w:pPr>
              <w:pStyle w:val="Normal"/>
              <w:widowControl w:val="false"/>
              <w:spacing w:before="0" w:after="200"/>
              <w:ind w:hanging="2160" w:start="2160"/>
              <w:jc w:val="both"/>
              <w:rPr/>
            </w:pPr>
            <w:r>
              <w:rPr>
                <w:rFonts w:cs="Cambria" w:ascii="Cambria" w:hAnsi="Cambria"/>
                <w:b/>
                <w:color w:val="000000"/>
                <w:sz w:val="22"/>
                <w:szCs w:val="22"/>
              </w:rPr>
              <w:t>44.  Place of Presentation:</w:t>
            </w:r>
          </w:p>
        </w:tc>
        <w:tc>
          <w:tcPr>
            <w:tcW w:w="5377" w:type="dxa"/>
            <w:tcBorders/>
            <w:shd w:color="auto" w:fill="auto" w:val="clear"/>
          </w:tcPr>
          <w:p>
            <w:pPr>
              <w:pStyle w:val="Normal"/>
              <w:widowControl w:val="false"/>
              <w:spacing w:before="0" w:after="200"/>
              <w:jc w:val="both"/>
              <w:rPr/>
            </w:pPr>
            <w:r>
              <w:rPr>
                <w:rFonts w:cs="Cambria" w:ascii="Cambria" w:hAnsi="Cambria"/>
                <w:color w:val="000000"/>
                <w:sz w:val="22"/>
                <w:szCs w:val="22"/>
              </w:rPr>
              <w:t>Integral Transfer Agency</w:t>
            </w:r>
          </w:p>
        </w:tc>
      </w:tr>
      <w:tr>
        <w:trPr/>
        <w:tc>
          <w:tcPr>
            <w:tcW w:w="4257" w:type="dxa"/>
            <w:tcBorders/>
            <w:shd w:color="auto" w:fill="auto" w:val="clear"/>
          </w:tcPr>
          <w:p>
            <w:pPr>
              <w:pStyle w:val="Normal"/>
              <w:widowControl w:val="false"/>
              <w:spacing w:before="0" w:after="200"/>
              <w:ind w:hanging="2160" w:start="2160"/>
              <w:jc w:val="both"/>
              <w:rPr/>
            </w:pPr>
            <w:r>
              <w:rPr>
                <w:rFonts w:cs="Cambria" w:ascii="Cambria" w:hAnsi="Cambria"/>
                <w:b/>
                <w:color w:val="000000"/>
                <w:sz w:val="22"/>
                <w:szCs w:val="22"/>
              </w:rPr>
              <w:t>45.  Initial Valuation Date:</w:t>
            </w:r>
          </w:p>
        </w:tc>
        <w:tc>
          <w:tcPr>
            <w:tcW w:w="5377" w:type="dxa"/>
            <w:tcBorders/>
            <w:shd w:color="auto" w:fill="auto" w:val="clear"/>
          </w:tcPr>
          <w:p>
            <w:pPr>
              <w:pStyle w:val="Normal"/>
              <w:widowControl w:val="false"/>
              <w:spacing w:before="0" w:after="200"/>
              <w:jc w:val="both"/>
              <w:rPr/>
            </w:pPr>
            <w:r>
              <w:rPr>
                <w:rFonts w:cs="Cambria" w:ascii="Cambria" w:hAnsi="Cambria"/>
                <w:color w:val="000000"/>
                <w:sz w:val="22"/>
                <w:szCs w:val="22"/>
              </w:rPr>
              <w:t>6 October 2025</w:t>
            </w:r>
          </w:p>
        </w:tc>
      </w:tr>
      <w:tr>
        <w:trPr/>
        <w:tc>
          <w:tcPr>
            <w:tcW w:w="4257" w:type="dxa"/>
            <w:tcBorders/>
            <w:shd w:color="auto" w:fill="auto" w:val="clear"/>
          </w:tcPr>
          <w:p>
            <w:pPr>
              <w:pStyle w:val="Normal"/>
              <w:widowControl w:val="false"/>
              <w:spacing w:before="0" w:after="200"/>
              <w:ind w:hanging="2160" w:start="2160"/>
              <w:jc w:val="both"/>
              <w:rPr/>
            </w:pPr>
            <w:r>
              <w:rPr>
                <w:rFonts w:cs="Cambria" w:ascii="Cambria" w:hAnsi="Cambria"/>
                <w:b/>
                <w:color w:val="000000"/>
                <w:sz w:val="22"/>
                <w:szCs w:val="22"/>
              </w:rPr>
              <w:t>46.  Initial Value:</w:t>
            </w:r>
          </w:p>
        </w:tc>
        <w:tc>
          <w:tcPr>
            <w:tcW w:w="5377" w:type="dxa"/>
            <w:tcBorders/>
            <w:shd w:color="auto" w:fill="auto" w:val="clear"/>
          </w:tcPr>
          <w:p>
            <w:pPr>
              <w:pStyle w:val="Normal"/>
              <w:widowControl w:val="false"/>
              <w:spacing w:before="0" w:after="200"/>
              <w:jc w:val="both"/>
              <w:rPr/>
            </w:pPr>
            <w:r>
              <w:rPr>
                <w:rFonts w:cs="Cambria" w:ascii="Cambria" w:hAnsi="Cambria"/>
                <w:color w:val="000000"/>
                <w:sz w:val="22"/>
                <w:szCs w:val="22"/>
              </w:rPr>
              <w:t>100% of face value</w:t>
            </w:r>
          </w:p>
        </w:tc>
      </w:tr>
      <w:tr>
        <w:trPr/>
        <w:tc>
          <w:tcPr>
            <w:tcW w:w="4257" w:type="dxa"/>
            <w:tcBorders/>
            <w:shd w:color="auto" w:fill="auto" w:val="clear"/>
          </w:tcPr>
          <w:p>
            <w:pPr>
              <w:pStyle w:val="Normal"/>
              <w:widowControl w:val="false"/>
              <w:spacing w:before="0" w:after="200"/>
              <w:ind w:hanging="2160" w:start="2160"/>
              <w:jc w:val="both"/>
              <w:rPr/>
            </w:pPr>
            <w:r>
              <w:rPr>
                <w:rFonts w:cs="Cambria" w:ascii="Cambria" w:hAnsi="Cambria"/>
                <w:b/>
                <w:color w:val="000000"/>
                <w:sz w:val="22"/>
                <w:szCs w:val="22"/>
              </w:rPr>
              <w:t>47.  Valuation Date:</w:t>
            </w:r>
          </w:p>
        </w:tc>
        <w:tc>
          <w:tcPr>
            <w:tcW w:w="5377" w:type="dxa"/>
            <w:tcBorders/>
            <w:shd w:color="auto" w:fill="auto" w:val="clear"/>
          </w:tcPr>
          <w:p>
            <w:pPr>
              <w:pStyle w:val="Normal"/>
              <w:widowControl w:val="false"/>
              <w:spacing w:before="0" w:after="200"/>
              <w:jc w:val="both"/>
              <w:rPr/>
            </w:pPr>
            <w:r>
              <w:rPr>
                <w:rFonts w:cs="Cambria" w:ascii="Cambria" w:hAnsi="Cambria"/>
                <w:color w:val="000000"/>
                <w:sz w:val="22"/>
                <w:szCs w:val="22"/>
              </w:rPr>
              <w:t>6 October 2025</w:t>
            </w:r>
          </w:p>
        </w:tc>
      </w:tr>
      <w:tr>
        <w:trPr/>
        <w:tc>
          <w:tcPr>
            <w:tcW w:w="4257" w:type="dxa"/>
            <w:tcBorders/>
            <w:shd w:color="auto" w:fill="auto" w:val="clear"/>
          </w:tcPr>
          <w:p>
            <w:pPr>
              <w:pStyle w:val="Normal"/>
              <w:widowControl w:val="false"/>
              <w:spacing w:before="0" w:after="200"/>
              <w:jc w:val="both"/>
              <w:rPr/>
            </w:pPr>
            <w:r>
              <w:rPr>
                <w:rFonts w:cs="Cambria" w:ascii="Cambria" w:hAnsi="Cambria"/>
                <w:b/>
                <w:color w:val="000000"/>
                <w:sz w:val="22"/>
                <w:szCs w:val="22"/>
              </w:rPr>
              <w:t>48.  Legal and Tax Treatment:</w:t>
            </w:r>
          </w:p>
        </w:tc>
        <w:tc>
          <w:tcPr>
            <w:tcW w:w="5377" w:type="dxa"/>
            <w:tcBorders/>
            <w:shd w:color="auto" w:fill="auto" w:val="clear"/>
          </w:tcPr>
          <w:p>
            <w:pPr>
              <w:pStyle w:val="Normal"/>
              <w:widowControl w:val="false"/>
              <w:spacing w:before="0" w:after="200"/>
              <w:ind w:hanging="5"/>
              <w:jc w:val="both"/>
              <w:rPr/>
            </w:pPr>
            <w:r>
              <w:rPr>
                <w:rFonts w:cs="Cambria" w:ascii="Cambria" w:hAnsi="Cambria"/>
                <w:color w:val="000000"/>
                <w:sz w:val="22"/>
                <w:szCs w:val="22"/>
              </w:rPr>
              <w:t>Holders are advised to consult their own legal, tax and accounting advisers with respect to matters arising from executing the Transaction.</w:t>
            </w:r>
          </w:p>
        </w:tc>
      </w:tr>
      <w:tr>
        <w:trPr/>
        <w:tc>
          <w:tcPr>
            <w:tcW w:w="4257" w:type="dxa"/>
            <w:tcBorders/>
            <w:shd w:color="auto" w:fill="auto" w:val="clear"/>
          </w:tcPr>
          <w:p>
            <w:pPr>
              <w:pStyle w:val="Normal"/>
              <w:widowControl w:val="false"/>
              <w:spacing w:before="0" w:after="200"/>
              <w:jc w:val="both"/>
              <w:rPr/>
            </w:pPr>
            <w:r>
              <w:rPr>
                <w:rFonts w:cs="Cambria" w:ascii="Cambria" w:hAnsi="Cambria"/>
                <w:b/>
                <w:color w:val="000000"/>
                <w:sz w:val="22"/>
                <w:szCs w:val="22"/>
              </w:rPr>
              <w:t>49.  No Reliance:</w:t>
            </w:r>
          </w:p>
        </w:tc>
        <w:tc>
          <w:tcPr>
            <w:tcW w:w="5377" w:type="dxa"/>
            <w:tcBorders/>
            <w:shd w:color="auto" w:fill="auto" w:val="clear"/>
          </w:tcPr>
          <w:p>
            <w:pPr>
              <w:pStyle w:val="Normal"/>
              <w:widowControl w:val="false"/>
              <w:spacing w:before="0" w:after="200"/>
              <w:ind w:hanging="5"/>
              <w:jc w:val="both"/>
              <w:rPr/>
            </w:pPr>
            <w:r>
              <w:rPr>
                <w:rFonts w:cs="Cambria" w:ascii="Cambria" w:hAnsi="Cambria"/>
                <w:sz w:val="22"/>
                <w:szCs w:val="22"/>
              </w:rPr>
              <w:t>Holders represents that (i) they are not relying upon any representations except those expressly set forth in this document; (ii) they have consulted with their own legal, regulatory, tax, business, investment, financial, and accounting advisers to the extent they have deemed necessary, and they have made their own investment, hedging, and trading decisions based upon their own judgment and upon any advice from such advisers as they have deemed necessary and not upon any view expressed by the other party; and (iii) they are executing the Transaction with a full understanding of the terms, conditions and risks thereof, and they are capable of and willing to assume those risks.</w:t>
            </w:r>
          </w:p>
        </w:tc>
      </w:tr>
    </w:tbl>
    <w:p>
      <w:pPr>
        <w:pStyle w:val="Normal"/>
        <w:spacing w:lineRule="auto" w:line="312"/>
        <w:jc w:val="both"/>
        <w:rPr>
          <w:rFonts w:ascii="Cambria" w:hAnsi="Cambria" w:eastAsia="Calibri" w:cs="" w:cstheme="minorBidi" w:eastAsiaTheme="minorHAnsi"/>
          <w:kern w:val="0"/>
          <w:sz w:val="22"/>
          <w:szCs w:val="22"/>
          <w:lang w:eastAsia="en-US" w:bidi="ar-SA"/>
        </w:rPr>
      </w:pPr>
      <w:r>
        <w:rPr>
          <w:rFonts w:eastAsia="Calibri" w:cs="" w:cstheme="minorBidi" w:eastAsiaTheme="minorHAnsi" w:ascii="Cambria" w:hAnsi="Cambria"/>
          <w:kern w:val="0"/>
          <w:sz w:val="22"/>
          <w:szCs w:val="22"/>
          <w:lang w:eastAsia="en-US" w:bidi="ar-SA"/>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Cambria">
    <w:charset w:val="01" w:characterSet="utf-8"/>
    <w:family w:val="roman"/>
    <w:pitch w:val="variable"/>
  </w:font>
</w:fonts>
</file>

<file path=word/settings.xml><?xml version="1.0" encoding="utf-8"?>
<w:settings xmlns:w="http://schemas.openxmlformats.org/wordprocessingml/2006/main">
  <w:zoom w:percent="134"/>
  <w:defaultTabStop w:val="709"/>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kern w:val="2"/>
        <w:sz w:val="24"/>
        <w:szCs w:val="24"/>
        <w:lang w:val="en-US"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styleId="Normal" w:default="1">
    <w:name w:val="Normal"/>
    <w:qFormat/>
    <w:pPr>
      <w:widowControl/>
      <w:suppressAutoHyphens w:val="true"/>
      <w:bidi w:val="0"/>
      <w:spacing w:before="0" w:after="0"/>
      <w:jc w:val="start"/>
    </w:pPr>
    <w:rPr>
      <w:rFonts w:ascii="Liberation Serif" w:hAnsi="Liberation Serif" w:eastAsia="NSimSun" w:cs="Mangal"/>
      <w:color w:val="auto"/>
      <w:kern w:val="2"/>
      <w:sz w:val="24"/>
      <w:szCs w:val="24"/>
      <w:lang w:val="en-US" w:eastAsia="zh-CN" w:bidi="hi-IN"/>
    </w:rPr>
  </w:style>
  <w:style w:type="character" w:styleId="DefaultParagraphFont" w:default="1">
    <w:name w:val="Default Paragraph Font"/>
    <w:uiPriority w:val="1"/>
    <w:semiHidden/>
    <w:unhideWhenUsed/>
    <w:qFormat/>
    <w:rPr/>
  </w:style>
  <w:style w:type="character" w:styleId="DocumentMapChar" w:customStyle="1">
    <w:name w:val="Document Map Char"/>
    <w:basedOn w:val="DefaultParagraphFont"/>
    <w:link w:val="DocumentMap"/>
    <w:uiPriority w:val="99"/>
    <w:semiHidden/>
    <w:qFormat/>
    <w:rsid w:val="00d1268b"/>
    <w:rPr>
      <w:rFonts w:ascii="Times New Roman" w:hAnsi="Times New Roman"/>
      <w:szCs w:val="21"/>
    </w:rPr>
  </w:style>
  <w:style w:type="paragraph" w:styleId="Heading" w:customStyle="1">
    <w:name w:val="Heading"/>
    <w:basedOn w:val="Normal"/>
    <w:next w:val="BodyText"/>
    <w:qFormat/>
    <w:pPr>
      <w:keepNext w:val="true"/>
      <w:spacing w:before="240" w:after="120"/>
    </w:pPr>
    <w:rPr>
      <w:rFonts w:ascii="Liberation Sans" w:hAnsi="Liberation Sans" w:eastAsia="Microsoft YaHei"/>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rPr>
  </w:style>
  <w:style w:type="paragraph" w:styleId="Index" w:customStyle="1">
    <w:name w:val="Index"/>
    <w:basedOn w:val="Normal"/>
    <w:qFormat/>
    <w:pPr>
      <w:suppressLineNumbers/>
    </w:pPr>
    <w:rPr/>
  </w:style>
  <w:style w:type="paragraph" w:styleId="DocumentMap">
    <w:name w:val="Document Map"/>
    <w:basedOn w:val="Normal"/>
    <w:link w:val="DocumentMapChar"/>
    <w:uiPriority w:val="99"/>
    <w:semiHidden/>
    <w:unhideWhenUsed/>
    <w:qFormat/>
    <w:rsid w:val="00d1268b"/>
    <w:pPr/>
    <w:rPr>
      <w:rFonts w:ascii="Times New Roman" w:hAnsi="Times New Roman"/>
      <w:szCs w:val="21"/>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91</TotalTime>
  <Application>LibreOffice/25.2.6.2$Linux_X86_64 LibreOffice_project/520$Build-2</Application>
  <AppVersion>15.0000</AppVersion>
  <Pages>3</Pages>
  <Words>696</Words>
  <Characters>3864</Characters>
  <CharactersWithSpaces>4524</CharactersWithSpaces>
  <Paragraphs>102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2020-01-15T10:01:00Z</dcterms:created>
  <dc:creator>Microsoft Office User</dc:creator>
  <dc:description/>
  <dc:language>en-US</dc:language>
  <cp:lastModifiedBy/>
  <dcterms:modified xsi:type="dcterms:W3CDTF">2025-10-06T09:59:35Z</dcterms:modified>
  <cp:revision>29</cp:revision>
  <dc:subject/>
  <dc:title/>
</cp:coreProperties>
</file>

<file path=docProps/custom.xml><?xml version="1.0" encoding="utf-8"?>
<Properties xmlns="http://schemas.openxmlformats.org/officeDocument/2006/custom-properties" xmlns:vt="http://schemas.openxmlformats.org/officeDocument/2006/docPropsVTypes"/>
</file>